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F10" w:rsidRPr="00194AA6" w:rsidRDefault="00193F10" w:rsidP="00095095">
      <w:pPr>
        <w:jc w:val="center"/>
        <w:rPr>
          <w:sz w:val="22"/>
          <w:szCs w:val="22"/>
        </w:rPr>
      </w:pPr>
    </w:p>
    <w:p w:rsidR="00193F10" w:rsidRDefault="00F91E33" w:rsidP="00095095">
      <w:pPr>
        <w:jc w:val="center"/>
      </w:pPr>
      <w:r>
        <w:rPr>
          <w:noProof/>
        </w:rPr>
        <w:drawing>
          <wp:inline distT="0" distB="0" distL="0" distR="0">
            <wp:extent cx="1712595" cy="1125855"/>
            <wp:effectExtent l="19050" t="0" r="1905" b="0"/>
            <wp:docPr id="1" name="Picture 1" descr="dep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color"/>
                    <pic:cNvPicPr>
                      <a:picLocks noChangeAspect="1" noChangeArrowheads="1"/>
                    </pic:cNvPicPr>
                  </pic:nvPicPr>
                  <pic:blipFill>
                    <a:blip r:embed="rId8" cstate="print"/>
                    <a:srcRect/>
                    <a:stretch>
                      <a:fillRect/>
                    </a:stretch>
                  </pic:blipFill>
                  <pic:spPr bwMode="auto">
                    <a:xfrm>
                      <a:off x="0" y="0"/>
                      <a:ext cx="1712595" cy="1125855"/>
                    </a:xfrm>
                    <a:prstGeom prst="rect">
                      <a:avLst/>
                    </a:prstGeom>
                    <a:noFill/>
                    <a:ln w="9525">
                      <a:noFill/>
                      <a:miter lim="800000"/>
                      <a:headEnd/>
                      <a:tailEnd/>
                    </a:ln>
                  </pic:spPr>
                </pic:pic>
              </a:graphicData>
            </a:graphic>
          </wp:inline>
        </w:drawing>
      </w:r>
    </w:p>
    <w:p w:rsidR="001771DC" w:rsidRPr="00194AA6" w:rsidRDefault="001771DC" w:rsidP="00095095">
      <w:pPr>
        <w:jc w:val="center"/>
        <w:rPr>
          <w:sz w:val="22"/>
          <w:szCs w:val="22"/>
        </w:rPr>
      </w:pPr>
    </w:p>
    <w:p w:rsidR="00193F10" w:rsidRPr="00194AA6" w:rsidRDefault="00193F10" w:rsidP="00095095">
      <w:pPr>
        <w:pStyle w:val="Heading3"/>
        <w:rPr>
          <w:b/>
          <w:sz w:val="22"/>
          <w:szCs w:val="22"/>
        </w:rPr>
      </w:pPr>
      <w:r w:rsidRPr="00194AA6">
        <w:rPr>
          <w:b/>
          <w:sz w:val="22"/>
          <w:szCs w:val="22"/>
        </w:rPr>
        <w:t>TECHNICAL EVALUATION</w:t>
      </w:r>
    </w:p>
    <w:p w:rsidR="00193F10" w:rsidRPr="00194AA6" w:rsidRDefault="00193F10" w:rsidP="00095095">
      <w:pPr>
        <w:jc w:val="center"/>
        <w:rPr>
          <w:sz w:val="22"/>
          <w:szCs w:val="22"/>
        </w:rPr>
      </w:pPr>
    </w:p>
    <w:p w:rsidR="00193F10" w:rsidRPr="00194AA6" w:rsidRDefault="00193F10" w:rsidP="00095095">
      <w:pPr>
        <w:jc w:val="center"/>
        <w:rPr>
          <w:sz w:val="22"/>
          <w:szCs w:val="22"/>
        </w:rPr>
      </w:pPr>
    </w:p>
    <w:p w:rsidR="00193F10" w:rsidRPr="00194AA6" w:rsidRDefault="00193F10" w:rsidP="00095095">
      <w:pPr>
        <w:jc w:val="center"/>
        <w:rPr>
          <w:sz w:val="22"/>
          <w:szCs w:val="22"/>
        </w:rPr>
      </w:pPr>
    </w:p>
    <w:p w:rsidR="00194AA6" w:rsidRPr="00194AA6" w:rsidRDefault="00194AA6" w:rsidP="00095095">
      <w:pPr>
        <w:pStyle w:val="Heading4"/>
        <w:spacing w:after="120"/>
        <w:rPr>
          <w:bCs/>
          <w:szCs w:val="22"/>
        </w:rPr>
      </w:pPr>
      <w:r w:rsidRPr="00194AA6">
        <w:rPr>
          <w:bCs/>
          <w:szCs w:val="22"/>
        </w:rPr>
        <w:t>APPLICANT</w:t>
      </w:r>
    </w:p>
    <w:p w:rsidR="00194AA6" w:rsidRDefault="00C26145" w:rsidP="00095095">
      <w:pPr>
        <w:widowControl w:val="0"/>
        <w:jc w:val="center"/>
        <w:rPr>
          <w:sz w:val="22"/>
          <w:szCs w:val="22"/>
        </w:rPr>
      </w:pPr>
      <w:r>
        <w:rPr>
          <w:sz w:val="22"/>
          <w:szCs w:val="22"/>
        </w:rPr>
        <w:t>Tampa Electric Company</w:t>
      </w:r>
    </w:p>
    <w:p w:rsidR="00194AA6" w:rsidRPr="000E6707" w:rsidRDefault="00C26145" w:rsidP="00095095">
      <w:pPr>
        <w:widowControl w:val="0"/>
        <w:jc w:val="center"/>
        <w:rPr>
          <w:sz w:val="22"/>
          <w:szCs w:val="22"/>
          <w:highlight w:val="yellow"/>
        </w:rPr>
      </w:pPr>
      <w:r>
        <w:rPr>
          <w:sz w:val="22"/>
          <w:szCs w:val="22"/>
        </w:rPr>
        <w:t>702 North Franklin Street</w:t>
      </w:r>
    </w:p>
    <w:p w:rsidR="00194AA6" w:rsidRPr="00746205" w:rsidRDefault="00C26145" w:rsidP="00095095">
      <w:pPr>
        <w:widowControl w:val="0"/>
        <w:jc w:val="center"/>
        <w:rPr>
          <w:sz w:val="22"/>
          <w:szCs w:val="22"/>
        </w:rPr>
      </w:pPr>
      <w:r>
        <w:rPr>
          <w:sz w:val="22"/>
          <w:szCs w:val="22"/>
        </w:rPr>
        <w:t>Tampa, Florida  33602</w:t>
      </w:r>
    </w:p>
    <w:p w:rsidR="00194AA6" w:rsidRDefault="00194AA6" w:rsidP="00095095">
      <w:pPr>
        <w:widowControl w:val="0"/>
        <w:jc w:val="center"/>
        <w:rPr>
          <w:sz w:val="22"/>
          <w:szCs w:val="22"/>
          <w:highlight w:val="yellow"/>
        </w:rPr>
      </w:pPr>
    </w:p>
    <w:p w:rsidR="00194AA6" w:rsidRPr="00746205" w:rsidRDefault="00C26145" w:rsidP="00095095">
      <w:pPr>
        <w:widowControl w:val="0"/>
        <w:jc w:val="center"/>
        <w:rPr>
          <w:sz w:val="22"/>
          <w:szCs w:val="22"/>
        </w:rPr>
      </w:pPr>
      <w:r>
        <w:rPr>
          <w:sz w:val="22"/>
          <w:szCs w:val="22"/>
        </w:rPr>
        <w:t>Big Bend Station</w:t>
      </w:r>
      <w:r w:rsidR="00B03ED5">
        <w:rPr>
          <w:sz w:val="22"/>
          <w:szCs w:val="22"/>
        </w:rPr>
        <w:t xml:space="preserve"> (BBS)</w:t>
      </w:r>
    </w:p>
    <w:p w:rsidR="00194AA6" w:rsidRDefault="00194AA6" w:rsidP="00095095">
      <w:pPr>
        <w:widowControl w:val="0"/>
        <w:jc w:val="center"/>
        <w:rPr>
          <w:sz w:val="22"/>
          <w:szCs w:val="22"/>
        </w:rPr>
      </w:pPr>
      <w:r w:rsidRPr="00746205">
        <w:rPr>
          <w:sz w:val="22"/>
          <w:szCs w:val="22"/>
        </w:rPr>
        <w:t xml:space="preserve">Facility ID No. </w:t>
      </w:r>
      <w:r w:rsidR="00C26145" w:rsidRPr="00293CD0">
        <w:rPr>
          <w:sz w:val="22"/>
          <w:szCs w:val="22"/>
        </w:rPr>
        <w:t>0570039</w:t>
      </w:r>
    </w:p>
    <w:p w:rsidR="00194AA6" w:rsidRPr="00194AA6" w:rsidRDefault="00194AA6" w:rsidP="00095095">
      <w:pPr>
        <w:jc w:val="center"/>
        <w:rPr>
          <w:sz w:val="22"/>
        </w:rPr>
      </w:pPr>
    </w:p>
    <w:p w:rsidR="00194AA6" w:rsidRPr="00194AA6" w:rsidRDefault="00194AA6" w:rsidP="00095095">
      <w:pPr>
        <w:jc w:val="center"/>
        <w:rPr>
          <w:sz w:val="22"/>
        </w:rPr>
      </w:pPr>
    </w:p>
    <w:p w:rsidR="00194AA6" w:rsidRPr="00194AA6" w:rsidRDefault="00194AA6" w:rsidP="00095095">
      <w:pPr>
        <w:jc w:val="center"/>
        <w:rPr>
          <w:sz w:val="22"/>
        </w:rPr>
      </w:pPr>
    </w:p>
    <w:p w:rsidR="00193F10" w:rsidRDefault="00193F10" w:rsidP="00095095">
      <w:pPr>
        <w:pStyle w:val="Heading4"/>
        <w:spacing w:after="120"/>
        <w:rPr>
          <w:bCs/>
        </w:rPr>
      </w:pPr>
      <w:r>
        <w:rPr>
          <w:bCs/>
        </w:rPr>
        <w:t>PROJECT</w:t>
      </w:r>
    </w:p>
    <w:p w:rsidR="00193F10" w:rsidRDefault="00193F10" w:rsidP="00095095">
      <w:pPr>
        <w:pStyle w:val="Heading1"/>
        <w:spacing w:after="0"/>
        <w:ind w:left="0"/>
        <w:jc w:val="center"/>
        <w:rPr>
          <w:sz w:val="22"/>
        </w:rPr>
      </w:pPr>
      <w:r>
        <w:rPr>
          <w:sz w:val="22"/>
        </w:rPr>
        <w:t>P</w:t>
      </w:r>
      <w:r w:rsidR="00194AA6">
        <w:rPr>
          <w:sz w:val="22"/>
        </w:rPr>
        <w:t>roject</w:t>
      </w:r>
      <w:r>
        <w:rPr>
          <w:sz w:val="22"/>
        </w:rPr>
        <w:t xml:space="preserve"> No. </w:t>
      </w:r>
      <w:r w:rsidR="00C26145" w:rsidRPr="00293CD0">
        <w:rPr>
          <w:sz w:val="22"/>
          <w:szCs w:val="22"/>
        </w:rPr>
        <w:t>0570039-</w:t>
      </w:r>
      <w:r w:rsidR="00F97CA3">
        <w:rPr>
          <w:sz w:val="22"/>
          <w:szCs w:val="22"/>
        </w:rPr>
        <w:t>057</w:t>
      </w:r>
      <w:r w:rsidR="008603FF" w:rsidRPr="00C26145">
        <w:rPr>
          <w:sz w:val="22"/>
        </w:rPr>
        <w:t>-AC</w:t>
      </w:r>
    </w:p>
    <w:p w:rsidR="00193F10" w:rsidRPr="001D487F" w:rsidRDefault="0088353C" w:rsidP="00095095">
      <w:pPr>
        <w:jc w:val="center"/>
        <w:rPr>
          <w:sz w:val="22"/>
        </w:rPr>
      </w:pPr>
      <w:r>
        <w:rPr>
          <w:sz w:val="22"/>
          <w:szCs w:val="22"/>
        </w:rPr>
        <w:t>Supplemental Material Handling</w:t>
      </w:r>
      <w:r w:rsidR="00B3441D">
        <w:rPr>
          <w:sz w:val="22"/>
          <w:szCs w:val="22"/>
        </w:rPr>
        <w:t xml:space="preserve"> J3</w:t>
      </w:r>
      <w:r>
        <w:rPr>
          <w:sz w:val="22"/>
          <w:szCs w:val="22"/>
        </w:rPr>
        <w:t xml:space="preserve"> Conveyor</w:t>
      </w:r>
      <w:r w:rsidR="0082718C" w:rsidRPr="00A62F09">
        <w:rPr>
          <w:sz w:val="22"/>
          <w:szCs w:val="22"/>
        </w:rPr>
        <w:t xml:space="preserve"> </w:t>
      </w:r>
      <w:r>
        <w:rPr>
          <w:sz w:val="22"/>
          <w:szCs w:val="22"/>
        </w:rPr>
        <w:t>System</w:t>
      </w:r>
    </w:p>
    <w:p w:rsidR="00193F10" w:rsidRDefault="00193F10" w:rsidP="00095095">
      <w:pPr>
        <w:jc w:val="center"/>
        <w:rPr>
          <w:sz w:val="22"/>
        </w:rPr>
      </w:pPr>
    </w:p>
    <w:p w:rsidR="00193F10" w:rsidRDefault="00193F10" w:rsidP="00095095">
      <w:pPr>
        <w:jc w:val="center"/>
        <w:rPr>
          <w:sz w:val="22"/>
        </w:rPr>
      </w:pPr>
    </w:p>
    <w:p w:rsidR="00193F10" w:rsidRDefault="00193F10" w:rsidP="00095095">
      <w:pPr>
        <w:pStyle w:val="Heading4"/>
        <w:spacing w:after="120"/>
        <w:rPr>
          <w:bCs/>
        </w:rPr>
      </w:pPr>
      <w:r>
        <w:rPr>
          <w:bCs/>
        </w:rPr>
        <w:t>COUNTY</w:t>
      </w:r>
    </w:p>
    <w:p w:rsidR="00193F10" w:rsidRPr="001D487F" w:rsidRDefault="00C26145" w:rsidP="00095095">
      <w:pPr>
        <w:jc w:val="center"/>
        <w:rPr>
          <w:sz w:val="22"/>
        </w:rPr>
      </w:pPr>
      <w:r>
        <w:rPr>
          <w:sz w:val="22"/>
        </w:rPr>
        <w:t>Hillsborough</w:t>
      </w:r>
      <w:r w:rsidR="001D1649" w:rsidRPr="001D1649">
        <w:rPr>
          <w:sz w:val="22"/>
        </w:rPr>
        <w:t xml:space="preserve"> </w:t>
      </w:r>
      <w:r w:rsidR="00193F10" w:rsidRPr="001D1649">
        <w:rPr>
          <w:sz w:val="22"/>
        </w:rPr>
        <w:t>County</w:t>
      </w:r>
      <w:r w:rsidR="001D487F">
        <w:rPr>
          <w:sz w:val="22"/>
        </w:rPr>
        <w:t>, Florida</w:t>
      </w:r>
    </w:p>
    <w:p w:rsidR="00193F10" w:rsidRDefault="00193F10" w:rsidP="00095095">
      <w:pPr>
        <w:jc w:val="center"/>
        <w:rPr>
          <w:sz w:val="22"/>
          <w:u w:val="single"/>
        </w:rPr>
      </w:pPr>
    </w:p>
    <w:p w:rsidR="00193F10" w:rsidRDefault="00193F10" w:rsidP="00095095">
      <w:pPr>
        <w:jc w:val="center"/>
        <w:rPr>
          <w:sz w:val="22"/>
          <w:u w:val="single"/>
        </w:rPr>
      </w:pPr>
    </w:p>
    <w:p w:rsidR="00193F10" w:rsidRDefault="00193F10" w:rsidP="00095095">
      <w:pPr>
        <w:jc w:val="center"/>
        <w:rPr>
          <w:sz w:val="22"/>
        </w:rPr>
      </w:pPr>
    </w:p>
    <w:p w:rsidR="00193F10" w:rsidRDefault="00193F10" w:rsidP="00095095">
      <w:pPr>
        <w:pStyle w:val="Heading8"/>
        <w:jc w:val="center"/>
      </w:pPr>
      <w:r>
        <w:t>PERMITTING</w:t>
      </w:r>
      <w:r w:rsidR="001D487F">
        <w:t xml:space="preserve"> </w:t>
      </w:r>
      <w:r>
        <w:t>AUTHORITY</w:t>
      </w:r>
    </w:p>
    <w:p w:rsidR="00194AA6" w:rsidRPr="00746205" w:rsidRDefault="00194AA6" w:rsidP="00095095">
      <w:pPr>
        <w:widowControl w:val="0"/>
        <w:jc w:val="center"/>
        <w:rPr>
          <w:sz w:val="22"/>
          <w:szCs w:val="22"/>
        </w:rPr>
      </w:pPr>
      <w:r w:rsidRPr="00746205">
        <w:rPr>
          <w:sz w:val="22"/>
          <w:szCs w:val="22"/>
        </w:rPr>
        <w:t>Florida Department of Environmental Protection</w:t>
      </w:r>
    </w:p>
    <w:p w:rsidR="00194AA6" w:rsidRPr="00746205" w:rsidRDefault="00194AA6" w:rsidP="00095095">
      <w:pPr>
        <w:widowControl w:val="0"/>
        <w:jc w:val="center"/>
        <w:rPr>
          <w:sz w:val="22"/>
          <w:szCs w:val="22"/>
        </w:rPr>
      </w:pPr>
      <w:r w:rsidRPr="00746205">
        <w:rPr>
          <w:sz w:val="22"/>
          <w:szCs w:val="22"/>
        </w:rPr>
        <w:t>Division of Air Resource Management</w:t>
      </w:r>
    </w:p>
    <w:p w:rsidR="00194AA6" w:rsidRPr="000B5996" w:rsidRDefault="000B5996" w:rsidP="00095095">
      <w:pPr>
        <w:widowControl w:val="0"/>
        <w:jc w:val="center"/>
        <w:rPr>
          <w:sz w:val="22"/>
          <w:szCs w:val="22"/>
        </w:rPr>
      </w:pPr>
      <w:r w:rsidRPr="000B5996">
        <w:rPr>
          <w:sz w:val="22"/>
          <w:szCs w:val="22"/>
        </w:rPr>
        <w:t xml:space="preserve">Office of </w:t>
      </w:r>
      <w:r w:rsidR="009E7BDC" w:rsidRPr="000B5996">
        <w:rPr>
          <w:sz w:val="22"/>
          <w:szCs w:val="22"/>
        </w:rPr>
        <w:t xml:space="preserve">Permitting and Compliance </w:t>
      </w:r>
    </w:p>
    <w:p w:rsidR="00194AA6" w:rsidRPr="000B5996" w:rsidRDefault="00681C04" w:rsidP="00095095">
      <w:pPr>
        <w:widowControl w:val="0"/>
        <w:jc w:val="center"/>
        <w:rPr>
          <w:sz w:val="22"/>
          <w:szCs w:val="22"/>
        </w:rPr>
      </w:pPr>
      <w:r w:rsidRPr="000B5996">
        <w:rPr>
          <w:sz w:val="22"/>
          <w:szCs w:val="22"/>
        </w:rPr>
        <w:t>Power Plant</w:t>
      </w:r>
      <w:r w:rsidR="000B5996" w:rsidRPr="000B5996">
        <w:rPr>
          <w:sz w:val="22"/>
          <w:szCs w:val="22"/>
        </w:rPr>
        <w:t>s</w:t>
      </w:r>
      <w:r w:rsidR="009E7BDC" w:rsidRPr="000B5996">
        <w:rPr>
          <w:sz w:val="22"/>
          <w:szCs w:val="22"/>
        </w:rPr>
        <w:t xml:space="preserve"> Group</w:t>
      </w:r>
    </w:p>
    <w:p w:rsidR="00194AA6" w:rsidRPr="000B5996" w:rsidRDefault="00194AA6" w:rsidP="00095095">
      <w:pPr>
        <w:widowControl w:val="0"/>
        <w:jc w:val="center"/>
        <w:rPr>
          <w:sz w:val="22"/>
          <w:szCs w:val="22"/>
        </w:rPr>
      </w:pPr>
      <w:smartTag w:uri="urn:schemas-microsoft-com:office:smarttags" w:element="place">
        <w:smartTag w:uri="urn:schemas-microsoft-com:office:smarttags" w:element="City">
          <w:r w:rsidRPr="000B5996">
            <w:rPr>
              <w:sz w:val="22"/>
              <w:szCs w:val="22"/>
            </w:rPr>
            <w:t>2600</w:t>
          </w:r>
        </w:smartTag>
        <w:r w:rsidRPr="000B5996">
          <w:rPr>
            <w:sz w:val="22"/>
            <w:szCs w:val="22"/>
          </w:rPr>
          <w:t xml:space="preserve"> Blair Stone Road, </w:t>
        </w:r>
        <w:smartTag w:uri="urn:schemas-microsoft-com:office:smarttags" w:element="State">
          <w:r w:rsidRPr="000B5996">
            <w:rPr>
              <w:sz w:val="22"/>
              <w:szCs w:val="22"/>
            </w:rPr>
            <w:t>MS</w:t>
          </w:r>
        </w:smartTag>
      </w:smartTag>
      <w:r w:rsidRPr="000B5996">
        <w:rPr>
          <w:sz w:val="22"/>
          <w:szCs w:val="22"/>
        </w:rPr>
        <w:t>#5505</w:t>
      </w:r>
    </w:p>
    <w:p w:rsidR="00194AA6" w:rsidRPr="000B5996" w:rsidRDefault="00194AA6" w:rsidP="00095095">
      <w:pPr>
        <w:widowControl w:val="0"/>
        <w:jc w:val="center"/>
        <w:rPr>
          <w:sz w:val="22"/>
          <w:szCs w:val="22"/>
        </w:rPr>
      </w:pPr>
      <w:smartTag w:uri="urn:schemas-microsoft-com:office:smarttags" w:element="place">
        <w:smartTag w:uri="urn:schemas-microsoft-com:office:smarttags" w:element="City">
          <w:r w:rsidRPr="000B5996">
            <w:rPr>
              <w:sz w:val="22"/>
              <w:szCs w:val="22"/>
            </w:rPr>
            <w:t>Tallahassee</w:t>
          </w:r>
        </w:smartTag>
        <w:r w:rsidRPr="000B5996">
          <w:rPr>
            <w:sz w:val="22"/>
            <w:szCs w:val="22"/>
          </w:rPr>
          <w:t xml:space="preserve">, </w:t>
        </w:r>
        <w:smartTag w:uri="urn:schemas-microsoft-com:office:smarttags" w:element="State">
          <w:r w:rsidRPr="000B5996">
            <w:rPr>
              <w:sz w:val="22"/>
              <w:szCs w:val="22"/>
            </w:rPr>
            <w:t>Florida</w:t>
          </w:r>
        </w:smartTag>
        <w:r w:rsidRPr="000B5996">
          <w:rPr>
            <w:sz w:val="22"/>
            <w:szCs w:val="22"/>
          </w:rPr>
          <w:t xml:space="preserve">  </w:t>
        </w:r>
        <w:smartTag w:uri="urn:schemas-microsoft-com:office:smarttags" w:element="PostalCode">
          <w:r w:rsidRPr="000B5996">
            <w:rPr>
              <w:sz w:val="22"/>
              <w:szCs w:val="22"/>
            </w:rPr>
            <w:t>32399-2400</w:t>
          </w:r>
        </w:smartTag>
      </w:smartTag>
    </w:p>
    <w:p w:rsidR="00193F10" w:rsidRPr="000B5996" w:rsidRDefault="00193F10" w:rsidP="00095095">
      <w:pPr>
        <w:jc w:val="center"/>
        <w:rPr>
          <w:sz w:val="22"/>
        </w:rPr>
      </w:pPr>
    </w:p>
    <w:p w:rsidR="00193F10" w:rsidRPr="000B5996" w:rsidRDefault="00193F10" w:rsidP="00095095">
      <w:pPr>
        <w:jc w:val="center"/>
        <w:rPr>
          <w:sz w:val="22"/>
        </w:rPr>
      </w:pPr>
    </w:p>
    <w:p w:rsidR="00193F10" w:rsidRPr="000B5996" w:rsidRDefault="00193F10" w:rsidP="00095095">
      <w:pPr>
        <w:jc w:val="center"/>
        <w:rPr>
          <w:sz w:val="22"/>
        </w:rPr>
      </w:pPr>
    </w:p>
    <w:p w:rsidR="00193F10" w:rsidRPr="001D487F" w:rsidRDefault="001D7A22" w:rsidP="00095095">
      <w:pPr>
        <w:jc w:val="center"/>
        <w:rPr>
          <w:sz w:val="22"/>
        </w:rPr>
      </w:pPr>
      <w:r>
        <w:rPr>
          <w:sz w:val="22"/>
        </w:rPr>
        <w:t>May 1</w:t>
      </w:r>
      <w:r w:rsidR="002F1037" w:rsidRPr="00095095">
        <w:rPr>
          <w:sz w:val="22"/>
        </w:rPr>
        <w:t>, 201</w:t>
      </w:r>
      <w:r w:rsidR="00FD721F" w:rsidRPr="00095095">
        <w:rPr>
          <w:sz w:val="22"/>
        </w:rPr>
        <w:t>2</w:t>
      </w:r>
    </w:p>
    <w:p w:rsidR="00193F10" w:rsidRDefault="00193F10" w:rsidP="00095095">
      <w:pPr>
        <w:jc w:val="center"/>
        <w:rPr>
          <w:sz w:val="22"/>
        </w:rPr>
      </w:pPr>
    </w:p>
    <w:p w:rsidR="00193F10" w:rsidRDefault="00193F10" w:rsidP="00095095">
      <w:pPr>
        <w:jc w:val="center"/>
        <w:rPr>
          <w:sz w:val="22"/>
        </w:rPr>
      </w:pPr>
    </w:p>
    <w:p w:rsidR="00193F10" w:rsidRDefault="00193F10" w:rsidP="00095095">
      <w:pPr>
        <w:jc w:val="center"/>
        <w:rPr>
          <w:sz w:val="22"/>
        </w:rPr>
      </w:pPr>
    </w:p>
    <w:p w:rsidR="00193F10" w:rsidRDefault="00193F10" w:rsidP="00095095">
      <w:pPr>
        <w:jc w:val="center"/>
        <w:rPr>
          <w:sz w:val="22"/>
        </w:rPr>
      </w:pPr>
    </w:p>
    <w:p w:rsidR="00193F10" w:rsidRPr="00D07B72" w:rsidRDefault="00193F10" w:rsidP="00095095">
      <w:pPr>
        <w:jc w:val="center"/>
        <w:rPr>
          <w:sz w:val="22"/>
          <w:szCs w:val="22"/>
        </w:rPr>
      </w:pPr>
    </w:p>
    <w:p w:rsidR="00193F10" w:rsidRDefault="00193F10" w:rsidP="00095095">
      <w:pPr>
        <w:jc w:val="center"/>
        <w:rPr>
          <w:sz w:val="22"/>
        </w:rPr>
        <w:sectPr w:rsidR="00193F10" w:rsidSect="00955781">
          <w:pgSz w:w="12240" w:h="15840" w:code="1"/>
          <w:pgMar w:top="720" w:right="1080" w:bottom="720" w:left="1080" w:header="720" w:footer="720" w:gutter="0"/>
          <w:paperSrc w:first="15" w:other="15"/>
          <w:pgNumType w:start="1"/>
          <w:cols w:space="720"/>
        </w:sectPr>
      </w:pPr>
    </w:p>
    <w:p w:rsidR="00193F10" w:rsidRDefault="00193F10" w:rsidP="00095095">
      <w:pPr>
        <w:spacing w:after="120"/>
        <w:rPr>
          <w:b/>
          <w:caps/>
          <w:sz w:val="22"/>
        </w:rPr>
      </w:pPr>
      <w:r>
        <w:rPr>
          <w:b/>
          <w:caps/>
          <w:sz w:val="22"/>
        </w:rPr>
        <w:lastRenderedPageBreak/>
        <w:t>1.  General Project INFORMATION</w:t>
      </w:r>
    </w:p>
    <w:p w:rsidR="00EE6112" w:rsidRPr="004D523F" w:rsidRDefault="00EE6112" w:rsidP="00095095">
      <w:pPr>
        <w:pStyle w:val="Heading9"/>
        <w:keepNext w:val="0"/>
        <w:widowControl w:val="0"/>
        <w:ind w:left="0"/>
        <w:rPr>
          <w:b/>
          <w:bCs/>
          <w:szCs w:val="22"/>
          <w:u w:val="none"/>
        </w:rPr>
      </w:pPr>
      <w:r w:rsidRPr="004D523F">
        <w:rPr>
          <w:b/>
          <w:bCs/>
          <w:szCs w:val="22"/>
          <w:u w:val="none"/>
        </w:rPr>
        <w:t>Air Pollution Regul</w:t>
      </w:r>
      <w:r>
        <w:rPr>
          <w:b/>
          <w:bCs/>
          <w:szCs w:val="22"/>
          <w:u w:val="none"/>
        </w:rPr>
        <w:t>a</w:t>
      </w:r>
      <w:r w:rsidRPr="004D523F">
        <w:rPr>
          <w:b/>
          <w:bCs/>
          <w:szCs w:val="22"/>
          <w:u w:val="none"/>
        </w:rPr>
        <w:t>tions</w:t>
      </w:r>
    </w:p>
    <w:p w:rsidR="00EE6112" w:rsidRDefault="00EE6112" w:rsidP="00095095">
      <w:pPr>
        <w:spacing w:after="120"/>
        <w:rPr>
          <w:sz w:val="22"/>
          <w:szCs w:val="22"/>
        </w:rPr>
      </w:pPr>
      <w:r>
        <w:rPr>
          <w:sz w:val="22"/>
          <w:szCs w:val="22"/>
        </w:rPr>
        <w:t xml:space="preserve">Projects </w:t>
      </w:r>
      <w:r w:rsidR="004D1D9F">
        <w:rPr>
          <w:sz w:val="22"/>
          <w:szCs w:val="22"/>
        </w:rPr>
        <w:t xml:space="preserve">at stationary sources </w:t>
      </w:r>
      <w:r>
        <w:rPr>
          <w:sz w:val="22"/>
          <w:szCs w:val="22"/>
        </w:rPr>
        <w:t xml:space="preserve">with the potential to emit air pollution are </w:t>
      </w:r>
      <w:r w:rsidRPr="000302D6">
        <w:rPr>
          <w:sz w:val="22"/>
          <w:szCs w:val="22"/>
        </w:rPr>
        <w:t>subject to the applicable environmental laws specified in Section 403 of the Florida Statutes (F.S.)</w:t>
      </w:r>
      <w:r>
        <w:rPr>
          <w:sz w:val="22"/>
          <w:szCs w:val="22"/>
        </w:rPr>
        <w:t xml:space="preserve">.  The statutes </w:t>
      </w:r>
      <w:r w:rsidRPr="000302D6">
        <w:rPr>
          <w:sz w:val="22"/>
          <w:szCs w:val="22"/>
        </w:rPr>
        <w:t>authoriz</w:t>
      </w:r>
      <w:r w:rsidR="000C5143">
        <w:rPr>
          <w:sz w:val="22"/>
          <w:szCs w:val="22"/>
        </w:rPr>
        <w:t>e</w:t>
      </w:r>
      <w:r w:rsidRPr="000302D6">
        <w:rPr>
          <w:sz w:val="22"/>
          <w:szCs w:val="22"/>
        </w:rPr>
        <w:t xml:space="preserve"> the Department of Environmental Protection </w:t>
      </w:r>
      <w:r>
        <w:rPr>
          <w:sz w:val="22"/>
          <w:szCs w:val="22"/>
        </w:rPr>
        <w:t xml:space="preserve">(Department) </w:t>
      </w:r>
      <w:r w:rsidRPr="000302D6">
        <w:rPr>
          <w:sz w:val="22"/>
          <w:szCs w:val="22"/>
        </w:rPr>
        <w:t xml:space="preserve">to establish regulations regarding air quality as part of the Florida Administrative Code (F.A.C.), which includes the following </w:t>
      </w:r>
      <w:r w:rsidR="00701FEF">
        <w:rPr>
          <w:sz w:val="22"/>
          <w:szCs w:val="22"/>
        </w:rPr>
        <w:t xml:space="preserve">applicable </w:t>
      </w:r>
      <w:r w:rsidRPr="000302D6">
        <w:rPr>
          <w:sz w:val="22"/>
          <w:szCs w:val="22"/>
        </w:rPr>
        <w:t>chapters:  62-4 (Permits); 62-204 (Air Pollution Control – General Provisions); 62-210 (Stationary Sources – General Requirements); 62-212 (Stationary Sources</w:t>
      </w:r>
      <w:r w:rsidR="00D51D78" w:rsidRPr="000302D6">
        <w:rPr>
          <w:sz w:val="22"/>
          <w:szCs w:val="22"/>
        </w:rPr>
        <w:t xml:space="preserve"> – </w:t>
      </w:r>
      <w:r w:rsidRPr="000302D6">
        <w:rPr>
          <w:sz w:val="22"/>
          <w:szCs w:val="22"/>
        </w:rPr>
        <w:t>Preconstruction Review); 62-213 (Operation Permits for Major Sources of Air Pollution); 62-296 (Stationary Sources - Emission Standards); and 62-297 (Stationary Sources</w:t>
      </w:r>
      <w:r w:rsidR="00D51D78" w:rsidRPr="000302D6">
        <w:rPr>
          <w:sz w:val="22"/>
          <w:szCs w:val="22"/>
        </w:rPr>
        <w:t xml:space="preserve"> – </w:t>
      </w:r>
      <w:r w:rsidRPr="000302D6">
        <w:rPr>
          <w:sz w:val="22"/>
          <w:szCs w:val="22"/>
        </w:rPr>
        <w:t>Emissions Monitoring).</w:t>
      </w:r>
      <w:r>
        <w:rPr>
          <w:sz w:val="22"/>
          <w:szCs w:val="22"/>
        </w:rPr>
        <w:t xml:space="preserve">  Specifically, air construction permits are required pursuant to Rules 62-4, 62-210 and 62-212, F.A.C.</w:t>
      </w:r>
    </w:p>
    <w:p w:rsidR="00EE6112" w:rsidRDefault="00EE6112" w:rsidP="00095095">
      <w:pPr>
        <w:spacing w:after="120"/>
        <w:rPr>
          <w:sz w:val="22"/>
          <w:szCs w:val="22"/>
        </w:rPr>
      </w:pPr>
      <w:r w:rsidRPr="000302D6">
        <w:rPr>
          <w:sz w:val="22"/>
          <w:szCs w:val="22"/>
        </w:rPr>
        <w:t>In addition, the U. S. Environmental Protection Agency (EPA) establishes air quality regulations in Title 40 of the Code of Federal Regulations</w:t>
      </w:r>
      <w:r>
        <w:rPr>
          <w:sz w:val="22"/>
          <w:szCs w:val="22"/>
        </w:rPr>
        <w:t xml:space="preserve"> (CFR).  </w:t>
      </w:r>
      <w:r w:rsidRPr="000302D6">
        <w:rPr>
          <w:sz w:val="22"/>
          <w:szCs w:val="22"/>
        </w:rPr>
        <w:t xml:space="preserve">Part 60 </w:t>
      </w:r>
      <w:r>
        <w:rPr>
          <w:sz w:val="22"/>
          <w:szCs w:val="22"/>
        </w:rPr>
        <w:t>specifies New Source Performance Standards (</w:t>
      </w:r>
      <w:r w:rsidRPr="000302D6">
        <w:rPr>
          <w:sz w:val="22"/>
          <w:szCs w:val="22"/>
        </w:rPr>
        <w:t>NSPS</w:t>
      </w:r>
      <w:r>
        <w:rPr>
          <w:sz w:val="22"/>
          <w:szCs w:val="22"/>
        </w:rPr>
        <w:t>)</w:t>
      </w:r>
      <w:r w:rsidRPr="000302D6">
        <w:rPr>
          <w:sz w:val="22"/>
          <w:szCs w:val="22"/>
        </w:rPr>
        <w:t xml:space="preserve"> for </w:t>
      </w:r>
      <w:r>
        <w:rPr>
          <w:sz w:val="22"/>
          <w:szCs w:val="22"/>
        </w:rPr>
        <w:t xml:space="preserve">numerous </w:t>
      </w:r>
      <w:r w:rsidRPr="000302D6">
        <w:rPr>
          <w:sz w:val="22"/>
          <w:szCs w:val="22"/>
        </w:rPr>
        <w:t xml:space="preserve">industrial </w:t>
      </w:r>
      <w:r w:rsidR="000E42D3" w:rsidRPr="000302D6">
        <w:rPr>
          <w:sz w:val="22"/>
          <w:szCs w:val="22"/>
        </w:rPr>
        <w:t>categories</w:t>
      </w:r>
      <w:r>
        <w:rPr>
          <w:sz w:val="22"/>
          <w:szCs w:val="22"/>
        </w:rPr>
        <w:t xml:space="preserve">.  </w:t>
      </w:r>
      <w:r w:rsidRPr="000302D6">
        <w:rPr>
          <w:sz w:val="22"/>
          <w:szCs w:val="22"/>
        </w:rPr>
        <w:t>Part 61 specifies National Emission Standards for Hazardous Air Pollutants (NESHAP) based on specific pollutants</w:t>
      </w:r>
      <w:r>
        <w:rPr>
          <w:sz w:val="22"/>
          <w:szCs w:val="22"/>
        </w:rPr>
        <w:t xml:space="preserve">.  </w:t>
      </w:r>
      <w:r w:rsidRPr="000302D6">
        <w:rPr>
          <w:sz w:val="22"/>
          <w:szCs w:val="22"/>
        </w:rPr>
        <w:t xml:space="preserve">Part 63 specifies NESHAP based on the Maximum Achievable Control Technology (MACT) for </w:t>
      </w:r>
      <w:r>
        <w:rPr>
          <w:sz w:val="22"/>
          <w:szCs w:val="22"/>
        </w:rPr>
        <w:t xml:space="preserve">numerous </w:t>
      </w:r>
      <w:r w:rsidRPr="000302D6">
        <w:rPr>
          <w:sz w:val="22"/>
          <w:szCs w:val="22"/>
        </w:rPr>
        <w:t xml:space="preserve">industrial categories.  The Department adopts these federal regulations </w:t>
      </w:r>
      <w:r>
        <w:rPr>
          <w:sz w:val="22"/>
          <w:szCs w:val="22"/>
        </w:rPr>
        <w:t xml:space="preserve">on a quarterly basis </w:t>
      </w:r>
      <w:r w:rsidRPr="000302D6">
        <w:rPr>
          <w:sz w:val="22"/>
          <w:szCs w:val="22"/>
        </w:rPr>
        <w:t>in Rule 62-204.800, F.A.C.</w:t>
      </w:r>
    </w:p>
    <w:p w:rsidR="00223F29" w:rsidRPr="00D262B1" w:rsidRDefault="00223F29" w:rsidP="00095095">
      <w:pPr>
        <w:pStyle w:val="BodyText"/>
        <w:numPr>
          <w:ilvl w:val="12"/>
          <w:numId w:val="0"/>
        </w:numPr>
        <w:rPr>
          <w:b/>
          <w:sz w:val="22"/>
          <w:szCs w:val="22"/>
        </w:rPr>
      </w:pPr>
      <w:r w:rsidRPr="00D262B1">
        <w:rPr>
          <w:b/>
          <w:sz w:val="22"/>
          <w:szCs w:val="22"/>
        </w:rPr>
        <w:t>Glossary of Common Terms</w:t>
      </w:r>
    </w:p>
    <w:p w:rsidR="00223F29" w:rsidRPr="004D1D9F" w:rsidRDefault="00223F29" w:rsidP="00095095">
      <w:pPr>
        <w:pStyle w:val="BodyText"/>
        <w:numPr>
          <w:ilvl w:val="12"/>
          <w:numId w:val="0"/>
        </w:numPr>
        <w:rPr>
          <w:sz w:val="22"/>
          <w:szCs w:val="22"/>
        </w:rPr>
      </w:pPr>
      <w:r w:rsidRPr="004D1D9F">
        <w:rPr>
          <w:sz w:val="22"/>
          <w:szCs w:val="22"/>
        </w:rPr>
        <w:t>Because of the technical nature of the project, the permit contains numerous acronyms and abbreviations, which are defined in Appendix A of this permit.</w:t>
      </w:r>
    </w:p>
    <w:p w:rsidR="00193F10" w:rsidRDefault="00F91E33" w:rsidP="00095095">
      <w:pPr>
        <w:pStyle w:val="Heading9"/>
        <w:ind w:left="0"/>
        <w:rPr>
          <w:b/>
          <w:bCs/>
          <w:u w:val="none"/>
        </w:rPr>
      </w:pPr>
      <w:r>
        <w:rPr>
          <w:noProof/>
        </w:rPr>
        <w:drawing>
          <wp:anchor distT="0" distB="0" distL="114300" distR="114300" simplePos="0" relativeHeight="251655680" behindDoc="1" locked="0" layoutInCell="1" allowOverlap="0">
            <wp:simplePos x="0" y="0"/>
            <wp:positionH relativeFrom="column">
              <wp:posOffset>4568825</wp:posOffset>
            </wp:positionH>
            <wp:positionV relativeFrom="paragraph">
              <wp:posOffset>68580</wp:posOffset>
            </wp:positionV>
            <wp:extent cx="1911350" cy="1673225"/>
            <wp:effectExtent l="19050" t="0" r="0" b="0"/>
            <wp:wrapTight wrapText="bothSides">
              <wp:wrapPolygon edited="0">
                <wp:start x="-215" y="0"/>
                <wp:lineTo x="-215" y="21395"/>
                <wp:lineTo x="21528" y="21395"/>
                <wp:lineTo x="21528" y="0"/>
                <wp:lineTo x="-215"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1911350" cy="1673225"/>
                    </a:xfrm>
                    <a:prstGeom prst="rect">
                      <a:avLst/>
                    </a:prstGeom>
                    <a:noFill/>
                    <a:ln w="9525">
                      <a:noFill/>
                      <a:miter lim="800000"/>
                      <a:headEnd/>
                      <a:tailEnd/>
                    </a:ln>
                  </pic:spPr>
                </pic:pic>
              </a:graphicData>
            </a:graphic>
          </wp:anchor>
        </w:drawing>
      </w:r>
      <w:r w:rsidR="00193F10">
        <w:rPr>
          <w:b/>
          <w:bCs/>
          <w:u w:val="none"/>
        </w:rPr>
        <w:t>Facility Description and Location</w:t>
      </w:r>
    </w:p>
    <w:p w:rsidR="00E43DCB" w:rsidRDefault="00115A0A" w:rsidP="00095095">
      <w:pPr>
        <w:pStyle w:val="BodyText3"/>
        <w:numPr>
          <w:ilvl w:val="12"/>
          <w:numId w:val="0"/>
        </w:numPr>
        <w:spacing w:before="0"/>
      </w:pPr>
      <w:r>
        <w:rPr>
          <w:noProof/>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30" type="#_x0000_t12" style="position:absolute;margin-left:427.55pt;margin-top:33.35pt;width:7.15pt;height:7.15pt;z-index:251657728" fillcolor="#c00000"/>
        </w:pict>
      </w:r>
      <w:r w:rsidR="00C26145" w:rsidRPr="00DF0A05">
        <w:t>Big Bend Station</w:t>
      </w:r>
      <w:r w:rsidR="004D1D9F" w:rsidRPr="00DF0A05">
        <w:t xml:space="preserve"> </w:t>
      </w:r>
      <w:r w:rsidR="00B93C7D">
        <w:t xml:space="preserve">(BBS) </w:t>
      </w:r>
      <w:r w:rsidR="00476F56">
        <w:t>is grouped with</w:t>
      </w:r>
      <w:r w:rsidR="001D1649" w:rsidRPr="00DF0A05">
        <w:t xml:space="preserve"> </w:t>
      </w:r>
      <w:r w:rsidR="00C26145" w:rsidRPr="00DF0A05">
        <w:t>Electric, Gas and Sanitary Services</w:t>
      </w:r>
      <w:r w:rsidR="001D1649" w:rsidRPr="00DF0A05">
        <w:t xml:space="preserve">, which is categorized under </w:t>
      </w:r>
      <w:r w:rsidR="001D1649" w:rsidRPr="00DF0A05">
        <w:rPr>
          <w:bCs/>
        </w:rPr>
        <w:t xml:space="preserve">Standard Industrial Classification Code </w:t>
      </w:r>
      <w:r w:rsidR="00476F56">
        <w:rPr>
          <w:bCs/>
        </w:rPr>
        <w:t xml:space="preserve">(SIC) </w:t>
      </w:r>
      <w:r w:rsidR="001D1649" w:rsidRPr="00DF0A05">
        <w:rPr>
          <w:bCs/>
        </w:rPr>
        <w:t xml:space="preserve">No. </w:t>
      </w:r>
      <w:r w:rsidR="00C26145" w:rsidRPr="00DF0A05">
        <w:rPr>
          <w:bCs/>
        </w:rPr>
        <w:t>4911</w:t>
      </w:r>
      <w:r w:rsidR="001D1649" w:rsidRPr="00DF0A05">
        <w:rPr>
          <w:bCs/>
        </w:rPr>
        <w:t xml:space="preserve">. </w:t>
      </w:r>
      <w:r w:rsidR="001C4E37" w:rsidRPr="00DF0A05">
        <w:t xml:space="preserve"> </w:t>
      </w:r>
      <w:r w:rsidR="00302267" w:rsidRPr="00DF0A05">
        <w:t>T</w:t>
      </w:r>
      <w:r w:rsidR="00302267" w:rsidRPr="00DF0A05">
        <w:rPr>
          <w:szCs w:val="22"/>
        </w:rPr>
        <w:t xml:space="preserve">he existing </w:t>
      </w:r>
      <w:r w:rsidR="00C26145" w:rsidRPr="00DF0A05">
        <w:rPr>
          <w:szCs w:val="22"/>
        </w:rPr>
        <w:t>Big Bend Station</w:t>
      </w:r>
      <w:r w:rsidR="00302267" w:rsidRPr="00DF0A05">
        <w:rPr>
          <w:szCs w:val="22"/>
        </w:rPr>
        <w:t xml:space="preserve"> is located in </w:t>
      </w:r>
      <w:r w:rsidR="00C26145" w:rsidRPr="00DF0A05">
        <w:rPr>
          <w:szCs w:val="22"/>
        </w:rPr>
        <w:t>Hillsborough</w:t>
      </w:r>
      <w:r w:rsidR="00302267" w:rsidRPr="00DF0A05">
        <w:rPr>
          <w:szCs w:val="22"/>
        </w:rPr>
        <w:t xml:space="preserve"> County at </w:t>
      </w:r>
      <w:r w:rsidR="00C26145" w:rsidRPr="00DF0A05">
        <w:rPr>
          <w:szCs w:val="22"/>
        </w:rPr>
        <w:t>13031 Wyandotte Road in Apollo Beach</w:t>
      </w:r>
      <w:r w:rsidR="00302267" w:rsidRPr="00DF0A05">
        <w:rPr>
          <w:szCs w:val="22"/>
        </w:rPr>
        <w:t>, Florida</w:t>
      </w:r>
      <w:r w:rsidR="00F71458" w:rsidRPr="00DF0A05">
        <w:t xml:space="preserve">.  </w:t>
      </w:r>
      <w:r w:rsidR="00193F10" w:rsidRPr="00DF0A05">
        <w:t xml:space="preserve">The UTM coordinates </w:t>
      </w:r>
      <w:r w:rsidR="001D487F" w:rsidRPr="00DF0A05">
        <w:t xml:space="preserve">of the existing facility </w:t>
      </w:r>
      <w:r w:rsidR="00193F10" w:rsidRPr="00DF0A05">
        <w:t xml:space="preserve">are Zone </w:t>
      </w:r>
      <w:r w:rsidR="00DF0A05" w:rsidRPr="00DF0A05">
        <w:t>17</w:t>
      </w:r>
      <w:r w:rsidR="00193F10" w:rsidRPr="00DF0A05">
        <w:t xml:space="preserve">, </w:t>
      </w:r>
      <w:r w:rsidR="00DF0A05" w:rsidRPr="00DF0A05">
        <w:t>363.15</w:t>
      </w:r>
      <w:r w:rsidR="00193F10" w:rsidRPr="00DF0A05">
        <w:t xml:space="preserve"> km East, and </w:t>
      </w:r>
      <w:r w:rsidR="00DF0A05" w:rsidRPr="00DF0A05">
        <w:t>3074.91</w:t>
      </w:r>
      <w:r w:rsidR="00193F10" w:rsidRPr="00DF0A05">
        <w:t xml:space="preserve"> km North.  </w:t>
      </w:r>
      <w:r w:rsidR="00E43DCB">
        <w:br/>
      </w:r>
    </w:p>
    <w:p w:rsidR="00DF0A05" w:rsidRDefault="00F91E33" w:rsidP="00095095">
      <w:pPr>
        <w:pStyle w:val="BodyText3"/>
        <w:numPr>
          <w:ilvl w:val="12"/>
          <w:numId w:val="0"/>
        </w:numPr>
        <w:spacing w:before="0"/>
        <w:rPr>
          <w:szCs w:val="22"/>
        </w:rPr>
      </w:pPr>
      <w:r>
        <w:rPr>
          <w:noProof/>
        </w:rPr>
        <w:drawing>
          <wp:anchor distT="0" distB="0" distL="114300" distR="114300" simplePos="0" relativeHeight="251656704" behindDoc="1" locked="0" layoutInCell="1" allowOverlap="1">
            <wp:simplePos x="0" y="0"/>
            <wp:positionH relativeFrom="column">
              <wp:posOffset>9525</wp:posOffset>
            </wp:positionH>
            <wp:positionV relativeFrom="paragraph">
              <wp:posOffset>22860</wp:posOffset>
            </wp:positionV>
            <wp:extent cx="1600200" cy="2025015"/>
            <wp:effectExtent l="19050" t="0" r="0" b="0"/>
            <wp:wrapTight wrapText="bothSides">
              <wp:wrapPolygon edited="0">
                <wp:start x="-257" y="0"/>
                <wp:lineTo x="-257" y="21336"/>
                <wp:lineTo x="21600" y="21336"/>
                <wp:lineTo x="21600" y="0"/>
                <wp:lineTo x="-257" y="0"/>
              </wp:wrapPolygon>
            </wp:wrapTight>
            <wp:docPr id="5" name="Picture 5" descr="TESCRBigBendPowerSt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ESCRBigBendPowerStation"/>
                    <pic:cNvPicPr>
                      <a:picLocks noChangeAspect="1" noChangeArrowheads="1"/>
                    </pic:cNvPicPr>
                  </pic:nvPicPr>
                  <pic:blipFill>
                    <a:blip r:embed="rId10" cstate="print"/>
                    <a:srcRect/>
                    <a:stretch>
                      <a:fillRect/>
                    </a:stretch>
                  </pic:blipFill>
                  <pic:spPr bwMode="auto">
                    <a:xfrm>
                      <a:off x="0" y="0"/>
                      <a:ext cx="1600200" cy="2025015"/>
                    </a:xfrm>
                    <a:prstGeom prst="rect">
                      <a:avLst/>
                    </a:prstGeom>
                    <a:noFill/>
                    <a:ln w="9525">
                      <a:noFill/>
                      <a:miter lim="800000"/>
                      <a:headEnd/>
                      <a:tailEnd/>
                    </a:ln>
                  </pic:spPr>
                </pic:pic>
              </a:graphicData>
            </a:graphic>
          </wp:anchor>
        </w:drawing>
      </w:r>
      <w:r w:rsidR="00DF0A05" w:rsidRPr="002F6B7A">
        <w:rPr>
          <w:szCs w:val="22"/>
        </w:rPr>
        <w:t xml:space="preserve">The Big Bend Station is a nominal 2,028 megawatt (MW) electric generation facility.  This facility consists of four fossil fuel fired steam generators, Boiler Unit Nos. 1 through 4; four steam turbines; </w:t>
      </w:r>
      <w:r w:rsidR="00FD721F">
        <w:rPr>
          <w:szCs w:val="22"/>
        </w:rPr>
        <w:t>two</w:t>
      </w:r>
      <w:r w:rsidR="00DF0A05" w:rsidRPr="002F6B7A">
        <w:rPr>
          <w:szCs w:val="22"/>
        </w:rPr>
        <w:t xml:space="preserve"> simple-cycle combustion turbine</w:t>
      </w:r>
      <w:r w:rsidR="00FD721F">
        <w:rPr>
          <w:szCs w:val="22"/>
        </w:rPr>
        <w:t xml:space="preserve">s </w:t>
      </w:r>
      <w:r w:rsidR="00DF0A05" w:rsidRPr="002F6B7A">
        <w:rPr>
          <w:szCs w:val="22"/>
        </w:rPr>
        <w:t>(CT), CT No</w:t>
      </w:r>
      <w:r w:rsidR="00FD721F">
        <w:rPr>
          <w:szCs w:val="22"/>
        </w:rPr>
        <w:t>s</w:t>
      </w:r>
      <w:r w:rsidR="00DF0A05" w:rsidRPr="002F6B7A">
        <w:rPr>
          <w:szCs w:val="22"/>
        </w:rPr>
        <w:t xml:space="preserve">. </w:t>
      </w:r>
      <w:r w:rsidR="00FD721F">
        <w:rPr>
          <w:szCs w:val="22"/>
        </w:rPr>
        <w:t>4A and 4 B</w:t>
      </w:r>
      <w:r w:rsidR="00DF0A05" w:rsidRPr="002F6B7A">
        <w:rPr>
          <w:szCs w:val="22"/>
        </w:rPr>
        <w:t xml:space="preserve">; solid fuels, fly ash, limestone, gypsum, slag, and bottom ash storage and handling facilities; </w:t>
      </w:r>
      <w:r w:rsidR="009739FF" w:rsidRPr="005D10D1">
        <w:rPr>
          <w:szCs w:val="22"/>
        </w:rPr>
        <w:t>ship surface coating operations</w:t>
      </w:r>
      <w:r w:rsidR="009739FF">
        <w:rPr>
          <w:szCs w:val="22"/>
        </w:rPr>
        <w:t xml:space="preserve">; </w:t>
      </w:r>
      <w:r w:rsidR="00DF0A05" w:rsidRPr="002F6B7A">
        <w:rPr>
          <w:szCs w:val="22"/>
        </w:rPr>
        <w:t xml:space="preserve">and, fuel oil storage tanks.  Unit Nos. 1, 2, 3 and 4 have </w:t>
      </w:r>
      <w:r w:rsidR="005F68A8" w:rsidRPr="00E10B22">
        <w:rPr>
          <w:szCs w:val="22"/>
        </w:rPr>
        <w:t>manufacturer</w:t>
      </w:r>
      <w:r w:rsidR="005F68A8">
        <w:rPr>
          <w:szCs w:val="22"/>
        </w:rPr>
        <w:t xml:space="preserve"> rated </w:t>
      </w:r>
      <w:r w:rsidR="00DF0A05" w:rsidRPr="007B66DA">
        <w:rPr>
          <w:szCs w:val="22"/>
        </w:rPr>
        <w:t>heat inputs of 4</w:t>
      </w:r>
      <w:r w:rsidR="005F68A8">
        <w:rPr>
          <w:szCs w:val="22"/>
        </w:rPr>
        <w:t>,</w:t>
      </w:r>
      <w:r w:rsidR="00DF0A05" w:rsidRPr="007B66DA">
        <w:rPr>
          <w:szCs w:val="22"/>
        </w:rPr>
        <w:t>037, 3</w:t>
      </w:r>
      <w:r w:rsidR="005F68A8">
        <w:rPr>
          <w:szCs w:val="22"/>
        </w:rPr>
        <w:t>,</w:t>
      </w:r>
      <w:r w:rsidR="00DF0A05" w:rsidRPr="007B66DA">
        <w:rPr>
          <w:szCs w:val="22"/>
        </w:rPr>
        <w:t>996, 4</w:t>
      </w:r>
      <w:r w:rsidR="005F68A8">
        <w:rPr>
          <w:szCs w:val="22"/>
        </w:rPr>
        <w:t>,</w:t>
      </w:r>
      <w:r w:rsidR="00DF0A05" w:rsidRPr="007B66DA">
        <w:rPr>
          <w:szCs w:val="22"/>
        </w:rPr>
        <w:t>115 and 4</w:t>
      </w:r>
      <w:r w:rsidR="005F68A8">
        <w:rPr>
          <w:szCs w:val="22"/>
        </w:rPr>
        <w:t>,</w:t>
      </w:r>
      <w:r w:rsidR="00DF0A05" w:rsidRPr="007B66DA">
        <w:rPr>
          <w:szCs w:val="22"/>
        </w:rPr>
        <w:t>330</w:t>
      </w:r>
      <w:r w:rsidR="00DF0A05" w:rsidRPr="002F6B7A">
        <w:rPr>
          <w:szCs w:val="22"/>
        </w:rPr>
        <w:t xml:space="preserve"> million British thermal units (Btu) per hour, respectively.  Unit Nos. 1 through 4 are fired with coal and with petcoke in a mixture with coal up to 20.0% petcoke/80.0% coal (by weight), or a coal blended with coal residual generated from the Polk Power Station</w:t>
      </w:r>
      <w:r w:rsidR="00476F56">
        <w:rPr>
          <w:szCs w:val="22"/>
        </w:rPr>
        <w:t xml:space="preserve"> or other suppliers of coal residual</w:t>
      </w:r>
      <w:r w:rsidR="00DF0A05" w:rsidRPr="002F6B7A">
        <w:rPr>
          <w:szCs w:val="22"/>
        </w:rPr>
        <w:t>, or a coal/petroleum coke blend further blended with coal residual generated from the Polk Power Station</w:t>
      </w:r>
      <w:r w:rsidR="00476F56">
        <w:rPr>
          <w:szCs w:val="22"/>
        </w:rPr>
        <w:t xml:space="preserve"> or other suppliers of coal residual</w:t>
      </w:r>
      <w:r w:rsidR="00DF0A05" w:rsidRPr="002F6B7A">
        <w:rPr>
          <w:szCs w:val="22"/>
        </w:rPr>
        <w:t>.  The combustion turbine is fired with No. 2 distillate fuel oil.  In addition, there is a ship surface coating operation.  Also included in this permit are miscellaneous unregulated/insignificant emissions units and/or activities.</w:t>
      </w:r>
    </w:p>
    <w:p w:rsidR="00193F10" w:rsidRDefault="001C4E37" w:rsidP="00095095">
      <w:pPr>
        <w:pStyle w:val="Heading9"/>
        <w:ind w:left="0"/>
        <w:rPr>
          <w:b/>
          <w:bCs/>
          <w:u w:val="none"/>
        </w:rPr>
      </w:pPr>
      <w:r>
        <w:rPr>
          <w:b/>
          <w:bCs/>
          <w:u w:val="none"/>
        </w:rPr>
        <w:t xml:space="preserve">Facility </w:t>
      </w:r>
      <w:r w:rsidR="00193F10">
        <w:rPr>
          <w:b/>
          <w:bCs/>
          <w:u w:val="none"/>
        </w:rPr>
        <w:t>Regulatory Categories</w:t>
      </w:r>
    </w:p>
    <w:p w:rsidR="00F71458" w:rsidRPr="00BC0A0E" w:rsidRDefault="00F5427A" w:rsidP="00095095">
      <w:pPr>
        <w:numPr>
          <w:ilvl w:val="0"/>
          <w:numId w:val="3"/>
        </w:numPr>
        <w:spacing w:after="120"/>
        <w:rPr>
          <w:sz w:val="22"/>
          <w:szCs w:val="22"/>
        </w:rPr>
      </w:pPr>
      <w:r>
        <w:rPr>
          <w:sz w:val="22"/>
          <w:szCs w:val="22"/>
        </w:rPr>
        <w:t>The facility is</w:t>
      </w:r>
      <w:r w:rsidR="00F71458" w:rsidRPr="00BC0A0E">
        <w:rPr>
          <w:sz w:val="22"/>
          <w:szCs w:val="22"/>
        </w:rPr>
        <w:t xml:space="preserve"> a major source of hazardous air pollutants (HAP).</w:t>
      </w:r>
    </w:p>
    <w:p w:rsidR="00F71458" w:rsidRPr="00BC0A0E" w:rsidRDefault="00F71458" w:rsidP="00095095">
      <w:pPr>
        <w:pStyle w:val="BodyText"/>
        <w:numPr>
          <w:ilvl w:val="0"/>
          <w:numId w:val="3"/>
        </w:numPr>
        <w:rPr>
          <w:sz w:val="22"/>
          <w:szCs w:val="22"/>
        </w:rPr>
      </w:pPr>
      <w:r w:rsidRPr="00BC0A0E">
        <w:rPr>
          <w:sz w:val="22"/>
          <w:szCs w:val="22"/>
        </w:rPr>
        <w:t xml:space="preserve">The facility </w:t>
      </w:r>
      <w:r w:rsidR="00302267" w:rsidRPr="00BC0A0E">
        <w:rPr>
          <w:sz w:val="22"/>
          <w:szCs w:val="22"/>
        </w:rPr>
        <w:t xml:space="preserve">operates </w:t>
      </w:r>
      <w:r w:rsidRPr="00BC0A0E">
        <w:rPr>
          <w:sz w:val="22"/>
          <w:szCs w:val="22"/>
        </w:rPr>
        <w:t>units subject to the acid rain provisions of the Clean Air Act.</w:t>
      </w:r>
    </w:p>
    <w:p w:rsidR="00F71458" w:rsidRPr="00BC0A0E" w:rsidRDefault="00F71458" w:rsidP="00095095">
      <w:pPr>
        <w:numPr>
          <w:ilvl w:val="0"/>
          <w:numId w:val="3"/>
        </w:numPr>
        <w:spacing w:after="120"/>
        <w:rPr>
          <w:sz w:val="22"/>
          <w:szCs w:val="22"/>
        </w:rPr>
      </w:pPr>
      <w:r w:rsidRPr="00BC0A0E">
        <w:rPr>
          <w:sz w:val="22"/>
          <w:szCs w:val="22"/>
        </w:rPr>
        <w:t xml:space="preserve">The facility is a Title V major source of air pollution in accordance with </w:t>
      </w:r>
      <w:r w:rsidR="00F5427A">
        <w:rPr>
          <w:sz w:val="22"/>
          <w:szCs w:val="22"/>
        </w:rPr>
        <w:t>Rule 62-213</w:t>
      </w:r>
      <w:r w:rsidRPr="00BC0A0E">
        <w:rPr>
          <w:sz w:val="22"/>
          <w:szCs w:val="22"/>
        </w:rPr>
        <w:t>, F.A.C.</w:t>
      </w:r>
    </w:p>
    <w:p w:rsidR="00F71458" w:rsidRDefault="00F71458" w:rsidP="00095095">
      <w:pPr>
        <w:numPr>
          <w:ilvl w:val="0"/>
          <w:numId w:val="3"/>
        </w:numPr>
        <w:spacing w:after="120"/>
        <w:rPr>
          <w:sz w:val="22"/>
          <w:szCs w:val="22"/>
        </w:rPr>
      </w:pPr>
      <w:r w:rsidRPr="00BC0A0E">
        <w:rPr>
          <w:sz w:val="22"/>
          <w:szCs w:val="22"/>
        </w:rPr>
        <w:lastRenderedPageBreak/>
        <w:t>The facility is a major stationary source in accordance with Rule 62-212.400, F.A.C. for the Prevention of</w:t>
      </w:r>
      <w:r>
        <w:rPr>
          <w:sz w:val="22"/>
          <w:szCs w:val="22"/>
        </w:rPr>
        <w:t xml:space="preserve"> Significant Deterioration (PSD) of Air Quality.</w:t>
      </w:r>
    </w:p>
    <w:p w:rsidR="00CC181A" w:rsidRPr="00F26925" w:rsidRDefault="00CC181A" w:rsidP="00095095">
      <w:pPr>
        <w:numPr>
          <w:ilvl w:val="0"/>
          <w:numId w:val="3"/>
        </w:numPr>
        <w:spacing w:after="60"/>
        <w:rPr>
          <w:sz w:val="22"/>
          <w:szCs w:val="22"/>
        </w:rPr>
      </w:pPr>
      <w:r>
        <w:rPr>
          <w:sz w:val="22"/>
          <w:szCs w:val="22"/>
        </w:rPr>
        <w:t xml:space="preserve">The facility is subject to applicable New Source Performance Standards (NSPS) </w:t>
      </w:r>
      <w:r>
        <w:rPr>
          <w:sz w:val="22"/>
        </w:rPr>
        <w:t>in Title 40, Part 60 of the</w:t>
      </w:r>
      <w:r w:rsidRPr="003C1B73">
        <w:rPr>
          <w:sz w:val="22"/>
        </w:rPr>
        <w:t xml:space="preserve"> Code</w:t>
      </w:r>
      <w:r>
        <w:rPr>
          <w:sz w:val="22"/>
        </w:rPr>
        <w:t xml:space="preserve"> of Federal Regulations</w:t>
      </w:r>
      <w:r w:rsidRPr="003C1B73">
        <w:rPr>
          <w:sz w:val="22"/>
        </w:rPr>
        <w:t>.</w:t>
      </w:r>
    </w:p>
    <w:p w:rsidR="00CC181A" w:rsidRDefault="00CC181A" w:rsidP="00095095">
      <w:pPr>
        <w:numPr>
          <w:ilvl w:val="0"/>
          <w:numId w:val="3"/>
        </w:numPr>
        <w:spacing w:after="120"/>
        <w:rPr>
          <w:sz w:val="22"/>
          <w:szCs w:val="22"/>
        </w:rPr>
      </w:pPr>
      <w:r w:rsidRPr="003714FA">
        <w:rPr>
          <w:sz w:val="22"/>
          <w:szCs w:val="22"/>
        </w:rPr>
        <w:t xml:space="preserve">The facility </w:t>
      </w:r>
      <w:r>
        <w:rPr>
          <w:sz w:val="22"/>
          <w:szCs w:val="22"/>
        </w:rPr>
        <w:t>is</w:t>
      </w:r>
      <w:r w:rsidRPr="003714FA">
        <w:rPr>
          <w:sz w:val="22"/>
          <w:szCs w:val="22"/>
        </w:rPr>
        <w:t xml:space="preserve"> subject to applicable National Emissions Standards for Hazardous Air Pollutants (NESHAP) in Title 40, Part</w:t>
      </w:r>
      <w:r>
        <w:rPr>
          <w:sz w:val="22"/>
          <w:szCs w:val="22"/>
        </w:rPr>
        <w:t xml:space="preserve"> </w:t>
      </w:r>
      <w:r w:rsidRPr="003714FA">
        <w:rPr>
          <w:sz w:val="22"/>
          <w:szCs w:val="22"/>
        </w:rPr>
        <w:t>63 of the Code of Federal Regulations.</w:t>
      </w:r>
    </w:p>
    <w:p w:rsidR="00AF4D65" w:rsidRPr="001D7A22" w:rsidRDefault="00AF4D65" w:rsidP="00095095">
      <w:pPr>
        <w:numPr>
          <w:ilvl w:val="0"/>
          <w:numId w:val="3"/>
        </w:numPr>
        <w:spacing w:after="120"/>
        <w:rPr>
          <w:sz w:val="22"/>
          <w:szCs w:val="22"/>
        </w:rPr>
      </w:pPr>
      <w:r w:rsidRPr="001D7A22">
        <w:rPr>
          <w:sz w:val="22"/>
          <w:szCs w:val="22"/>
        </w:rPr>
        <w:t>This facility is located in an area designated “unclassifiable” for SO</w:t>
      </w:r>
      <w:r w:rsidRPr="001D7A22">
        <w:rPr>
          <w:sz w:val="22"/>
          <w:szCs w:val="22"/>
          <w:vertAlign w:val="subscript"/>
        </w:rPr>
        <w:t>2</w:t>
      </w:r>
      <w:r w:rsidRPr="001D7A22">
        <w:rPr>
          <w:sz w:val="22"/>
          <w:szCs w:val="22"/>
        </w:rPr>
        <w:t>, “maintenance” for Ozone (O</w:t>
      </w:r>
      <w:r w:rsidRPr="001D7A22">
        <w:rPr>
          <w:sz w:val="22"/>
          <w:szCs w:val="22"/>
          <w:vertAlign w:val="subscript"/>
        </w:rPr>
        <w:t>3</w:t>
      </w:r>
      <w:r w:rsidRPr="001D7A22">
        <w:rPr>
          <w:sz w:val="22"/>
          <w:szCs w:val="22"/>
        </w:rPr>
        <w:t>), and lead (Pb), in the “area of influence” of the PM maintenance area and “attainment” for all the other criteria pollutants pursuant to Rule 62-204.340, F.A.C.</w:t>
      </w:r>
    </w:p>
    <w:p w:rsidR="00193F10" w:rsidRDefault="00193F10" w:rsidP="00095095">
      <w:pPr>
        <w:pStyle w:val="BodyText2"/>
        <w:numPr>
          <w:ilvl w:val="0"/>
          <w:numId w:val="0"/>
        </w:numPr>
        <w:rPr>
          <w:b/>
          <w:bCs/>
        </w:rPr>
      </w:pPr>
      <w:r>
        <w:rPr>
          <w:b/>
          <w:bCs/>
        </w:rPr>
        <w:t>Project Description</w:t>
      </w:r>
    </w:p>
    <w:p w:rsidR="00A72D82" w:rsidRDefault="00F97CA3" w:rsidP="00095095">
      <w:pPr>
        <w:autoSpaceDE w:val="0"/>
        <w:autoSpaceDN w:val="0"/>
        <w:adjustRightInd w:val="0"/>
        <w:spacing w:after="120"/>
        <w:rPr>
          <w:sz w:val="22"/>
          <w:szCs w:val="22"/>
        </w:rPr>
      </w:pPr>
      <w:r w:rsidRPr="00A62F09">
        <w:rPr>
          <w:sz w:val="22"/>
          <w:szCs w:val="22"/>
        </w:rPr>
        <w:t>TECO pr</w:t>
      </w:r>
      <w:r w:rsidR="00A62F09" w:rsidRPr="00A62F09">
        <w:rPr>
          <w:sz w:val="22"/>
          <w:szCs w:val="22"/>
        </w:rPr>
        <w:t>o</w:t>
      </w:r>
      <w:r w:rsidRPr="00A62F09">
        <w:rPr>
          <w:sz w:val="22"/>
          <w:szCs w:val="22"/>
        </w:rPr>
        <w:t xml:space="preserve">poses to construct </w:t>
      </w:r>
      <w:r w:rsidR="0088353C">
        <w:rPr>
          <w:sz w:val="22"/>
          <w:szCs w:val="22"/>
        </w:rPr>
        <w:t>a supplemental material handling conveyor</w:t>
      </w:r>
      <w:r w:rsidRPr="00A62F09">
        <w:rPr>
          <w:sz w:val="22"/>
          <w:szCs w:val="22"/>
        </w:rPr>
        <w:t xml:space="preserve"> </w:t>
      </w:r>
      <w:r w:rsidR="0088353C">
        <w:rPr>
          <w:sz w:val="22"/>
          <w:szCs w:val="22"/>
        </w:rPr>
        <w:t xml:space="preserve">system </w:t>
      </w:r>
      <w:r w:rsidRPr="00A62F09">
        <w:rPr>
          <w:sz w:val="22"/>
          <w:szCs w:val="22"/>
        </w:rPr>
        <w:t xml:space="preserve">(J3 </w:t>
      </w:r>
      <w:r w:rsidR="001D7A22">
        <w:rPr>
          <w:sz w:val="22"/>
          <w:szCs w:val="22"/>
        </w:rPr>
        <w:t>C</w:t>
      </w:r>
      <w:r w:rsidRPr="00A62F09">
        <w:rPr>
          <w:sz w:val="22"/>
          <w:szCs w:val="22"/>
        </w:rPr>
        <w:t>onveyor</w:t>
      </w:r>
      <w:r w:rsidR="001D7A22">
        <w:rPr>
          <w:sz w:val="22"/>
          <w:szCs w:val="22"/>
        </w:rPr>
        <w:t xml:space="preserve"> System</w:t>
      </w:r>
      <w:r w:rsidRPr="00A62F09">
        <w:rPr>
          <w:sz w:val="22"/>
          <w:szCs w:val="22"/>
        </w:rPr>
        <w:t>)</w:t>
      </w:r>
      <w:r w:rsidR="00A72D82">
        <w:rPr>
          <w:sz w:val="22"/>
          <w:szCs w:val="22"/>
        </w:rPr>
        <w:t xml:space="preserve"> at their </w:t>
      </w:r>
      <w:r w:rsidR="00AC33E4">
        <w:rPr>
          <w:sz w:val="22"/>
          <w:szCs w:val="22"/>
        </w:rPr>
        <w:t>Solid Fuel C</w:t>
      </w:r>
      <w:r w:rsidR="00A72D82">
        <w:rPr>
          <w:sz w:val="22"/>
          <w:szCs w:val="22"/>
        </w:rPr>
        <w:t>oal</w:t>
      </w:r>
      <w:r w:rsidR="005E4776">
        <w:rPr>
          <w:sz w:val="22"/>
          <w:szCs w:val="22"/>
        </w:rPr>
        <w:t xml:space="preserve"> Y</w:t>
      </w:r>
      <w:r w:rsidR="00A72D82">
        <w:rPr>
          <w:sz w:val="22"/>
          <w:szCs w:val="22"/>
        </w:rPr>
        <w:t>ard</w:t>
      </w:r>
      <w:r w:rsidRPr="00A62F09">
        <w:rPr>
          <w:sz w:val="22"/>
          <w:szCs w:val="22"/>
        </w:rPr>
        <w:t xml:space="preserve">.  </w:t>
      </w:r>
    </w:p>
    <w:p w:rsidR="001D7A22" w:rsidRDefault="001D7A22" w:rsidP="00095095">
      <w:pPr>
        <w:autoSpaceDE w:val="0"/>
        <w:autoSpaceDN w:val="0"/>
        <w:adjustRightInd w:val="0"/>
        <w:spacing w:after="120"/>
        <w:rPr>
          <w:sz w:val="22"/>
          <w:szCs w:val="22"/>
        </w:rPr>
      </w:pPr>
      <w:r>
        <w:rPr>
          <w:sz w:val="22"/>
          <w:szCs w:val="22"/>
        </w:rPr>
        <w:t>TECO states that t</w:t>
      </w:r>
      <w:r w:rsidRPr="00D00BDF">
        <w:rPr>
          <w:sz w:val="22"/>
          <w:szCs w:val="22"/>
        </w:rPr>
        <w:t>he</w:t>
      </w:r>
      <w:r w:rsidRPr="001D7A22">
        <w:rPr>
          <w:sz w:val="22"/>
          <w:szCs w:val="22"/>
        </w:rPr>
        <w:t xml:space="preserve"> </w:t>
      </w:r>
      <w:r>
        <w:rPr>
          <w:sz w:val="22"/>
          <w:szCs w:val="22"/>
        </w:rPr>
        <w:t xml:space="preserve">J3 Conveyor System can be utilized to feed coal, coal blends, and supplemental coal additives.  Heavy equipment, such as bull </w:t>
      </w:r>
      <w:r w:rsidRPr="00E25A20">
        <w:rPr>
          <w:sz w:val="22"/>
          <w:szCs w:val="22"/>
        </w:rPr>
        <w:t>dozers or similar equipment</w:t>
      </w:r>
      <w:r>
        <w:rPr>
          <w:sz w:val="22"/>
          <w:szCs w:val="22"/>
        </w:rPr>
        <w:t>,</w:t>
      </w:r>
      <w:r w:rsidRPr="00A62F09">
        <w:rPr>
          <w:sz w:val="22"/>
          <w:szCs w:val="22"/>
        </w:rPr>
        <w:t xml:space="preserve"> will </w:t>
      </w:r>
      <w:r>
        <w:rPr>
          <w:sz w:val="22"/>
          <w:szCs w:val="22"/>
        </w:rPr>
        <w:t>advance</w:t>
      </w:r>
      <w:r w:rsidRPr="00A62F09">
        <w:rPr>
          <w:sz w:val="22"/>
          <w:szCs w:val="22"/>
        </w:rPr>
        <w:t xml:space="preserve"> coal</w:t>
      </w:r>
      <w:r>
        <w:rPr>
          <w:sz w:val="22"/>
          <w:szCs w:val="22"/>
        </w:rPr>
        <w:t xml:space="preserve">, coal blends or supplemental coal additives </w:t>
      </w:r>
      <w:r w:rsidRPr="00A62F09">
        <w:rPr>
          <w:sz w:val="22"/>
          <w:szCs w:val="22"/>
        </w:rPr>
        <w:t>to the grizzly in</w:t>
      </w:r>
      <w:r>
        <w:rPr>
          <w:sz w:val="22"/>
          <w:szCs w:val="22"/>
        </w:rPr>
        <w:t>-</w:t>
      </w:r>
      <w:r w:rsidRPr="00A62F09">
        <w:rPr>
          <w:sz w:val="22"/>
          <w:szCs w:val="22"/>
        </w:rPr>
        <w:t xml:space="preserve">feed hopper </w:t>
      </w:r>
      <w:r w:rsidRPr="00E10B22">
        <w:rPr>
          <w:sz w:val="22"/>
          <w:szCs w:val="22"/>
        </w:rPr>
        <w:t>(FH-100</w:t>
      </w:r>
      <w:r>
        <w:rPr>
          <w:sz w:val="22"/>
          <w:szCs w:val="22"/>
        </w:rPr>
        <w:t xml:space="preserve"> and FH-101,</w:t>
      </w:r>
      <w:r w:rsidRPr="00E10B22">
        <w:rPr>
          <w:sz w:val="22"/>
          <w:szCs w:val="22"/>
        </w:rPr>
        <w:t xml:space="preserve"> dozer </w:t>
      </w:r>
      <w:r>
        <w:rPr>
          <w:sz w:val="22"/>
          <w:szCs w:val="22"/>
        </w:rPr>
        <w:t xml:space="preserve">operations and grizzly hopper fugitive </w:t>
      </w:r>
      <w:r w:rsidRPr="00E10B22">
        <w:rPr>
          <w:sz w:val="22"/>
          <w:szCs w:val="22"/>
        </w:rPr>
        <w:t xml:space="preserve">emissions) </w:t>
      </w:r>
      <w:r w:rsidRPr="00A62F09">
        <w:rPr>
          <w:sz w:val="22"/>
          <w:szCs w:val="22"/>
        </w:rPr>
        <w:t xml:space="preserve">from the </w:t>
      </w:r>
      <w:r>
        <w:rPr>
          <w:sz w:val="22"/>
          <w:szCs w:val="22"/>
        </w:rPr>
        <w:t>south</w:t>
      </w:r>
      <w:r w:rsidRPr="00A62F09">
        <w:rPr>
          <w:sz w:val="22"/>
          <w:szCs w:val="22"/>
        </w:rPr>
        <w:t xml:space="preserve"> </w:t>
      </w:r>
      <w:r>
        <w:rPr>
          <w:sz w:val="22"/>
          <w:szCs w:val="22"/>
        </w:rPr>
        <w:t xml:space="preserve">coal </w:t>
      </w:r>
      <w:r w:rsidRPr="00A62F09">
        <w:rPr>
          <w:sz w:val="22"/>
          <w:szCs w:val="22"/>
        </w:rPr>
        <w:t xml:space="preserve">pile.  The </w:t>
      </w:r>
      <w:r>
        <w:rPr>
          <w:sz w:val="22"/>
          <w:szCs w:val="22"/>
        </w:rPr>
        <w:t>material</w:t>
      </w:r>
      <w:r w:rsidRPr="00A62F09">
        <w:rPr>
          <w:sz w:val="22"/>
          <w:szCs w:val="22"/>
        </w:rPr>
        <w:t xml:space="preserve"> </w:t>
      </w:r>
      <w:r>
        <w:rPr>
          <w:sz w:val="22"/>
          <w:szCs w:val="22"/>
        </w:rPr>
        <w:t>is fed by</w:t>
      </w:r>
      <w:r w:rsidRPr="00A62F09">
        <w:rPr>
          <w:sz w:val="22"/>
          <w:szCs w:val="22"/>
        </w:rPr>
        <w:t xml:space="preserve"> </w:t>
      </w:r>
      <w:r>
        <w:rPr>
          <w:sz w:val="22"/>
          <w:szCs w:val="22"/>
        </w:rPr>
        <w:t xml:space="preserve">the </w:t>
      </w:r>
      <w:r w:rsidRPr="00A62F09">
        <w:rPr>
          <w:sz w:val="22"/>
          <w:szCs w:val="22"/>
        </w:rPr>
        <w:t>grizzly hopper onto a 72”</w:t>
      </w:r>
      <w:r>
        <w:rPr>
          <w:sz w:val="22"/>
          <w:szCs w:val="22"/>
        </w:rPr>
        <w:t xml:space="preserve"> </w:t>
      </w:r>
      <w:r w:rsidRPr="00A62F09">
        <w:rPr>
          <w:sz w:val="22"/>
          <w:szCs w:val="22"/>
        </w:rPr>
        <w:t>covered</w:t>
      </w:r>
      <w:r>
        <w:rPr>
          <w:sz w:val="22"/>
          <w:szCs w:val="22"/>
        </w:rPr>
        <w:t xml:space="preserve"> </w:t>
      </w:r>
      <w:r w:rsidRPr="00A62F09">
        <w:rPr>
          <w:sz w:val="22"/>
          <w:szCs w:val="22"/>
        </w:rPr>
        <w:t>belt conveyor (FH-101)</w:t>
      </w:r>
      <w:r>
        <w:rPr>
          <w:sz w:val="22"/>
          <w:szCs w:val="22"/>
        </w:rPr>
        <w:t xml:space="preserve"> and </w:t>
      </w:r>
      <w:r w:rsidRPr="00A62F09">
        <w:rPr>
          <w:sz w:val="22"/>
          <w:szCs w:val="22"/>
        </w:rPr>
        <w:t>is then conveyed to a 54”</w:t>
      </w:r>
      <w:r>
        <w:rPr>
          <w:sz w:val="22"/>
          <w:szCs w:val="22"/>
        </w:rPr>
        <w:t xml:space="preserve"> </w:t>
      </w:r>
      <w:r w:rsidRPr="00A62F09">
        <w:rPr>
          <w:sz w:val="22"/>
          <w:szCs w:val="22"/>
        </w:rPr>
        <w:t>covered</w:t>
      </w:r>
      <w:r>
        <w:rPr>
          <w:sz w:val="22"/>
          <w:szCs w:val="22"/>
        </w:rPr>
        <w:t xml:space="preserve"> </w:t>
      </w:r>
      <w:r w:rsidRPr="00E10B22">
        <w:rPr>
          <w:sz w:val="22"/>
          <w:szCs w:val="22"/>
        </w:rPr>
        <w:t>belt</w:t>
      </w:r>
      <w:r w:rsidRPr="00A62F09">
        <w:rPr>
          <w:sz w:val="22"/>
          <w:szCs w:val="22"/>
        </w:rPr>
        <w:t xml:space="preserve"> conveyor (FH-102).  </w:t>
      </w:r>
      <w:r>
        <w:rPr>
          <w:sz w:val="22"/>
          <w:szCs w:val="22"/>
        </w:rPr>
        <w:t>Finally, t</w:t>
      </w:r>
      <w:r w:rsidRPr="00A62F09">
        <w:rPr>
          <w:sz w:val="22"/>
          <w:szCs w:val="22"/>
        </w:rPr>
        <w:t>he coal</w:t>
      </w:r>
      <w:r>
        <w:rPr>
          <w:sz w:val="22"/>
          <w:szCs w:val="22"/>
        </w:rPr>
        <w:t>,</w:t>
      </w:r>
      <w:r w:rsidRPr="00A62F09">
        <w:rPr>
          <w:sz w:val="22"/>
          <w:szCs w:val="22"/>
        </w:rPr>
        <w:t xml:space="preserve"> </w:t>
      </w:r>
      <w:r>
        <w:rPr>
          <w:sz w:val="22"/>
          <w:szCs w:val="22"/>
        </w:rPr>
        <w:t xml:space="preserve">or supplemental material, will be </w:t>
      </w:r>
      <w:r w:rsidRPr="00A62F09">
        <w:rPr>
          <w:sz w:val="22"/>
          <w:szCs w:val="22"/>
        </w:rPr>
        <w:t xml:space="preserve">conveyed to </w:t>
      </w:r>
      <w:r>
        <w:rPr>
          <w:sz w:val="22"/>
          <w:szCs w:val="22"/>
        </w:rPr>
        <w:t xml:space="preserve">a </w:t>
      </w:r>
      <w:r w:rsidRPr="00A62F09">
        <w:rPr>
          <w:sz w:val="22"/>
          <w:szCs w:val="22"/>
        </w:rPr>
        <w:t>new enclosed hopper</w:t>
      </w:r>
      <w:r>
        <w:rPr>
          <w:sz w:val="22"/>
          <w:szCs w:val="22"/>
        </w:rPr>
        <w:t xml:space="preserve"> at the existing K feeders</w:t>
      </w:r>
      <w:r w:rsidRPr="00A62F09">
        <w:rPr>
          <w:sz w:val="22"/>
          <w:szCs w:val="22"/>
        </w:rPr>
        <w:t xml:space="preserve"> (FH-103)</w:t>
      </w:r>
      <w:r>
        <w:rPr>
          <w:sz w:val="22"/>
          <w:szCs w:val="22"/>
        </w:rPr>
        <w:t xml:space="preserve"> (which feed </w:t>
      </w:r>
      <w:r w:rsidRPr="00A62F09">
        <w:rPr>
          <w:sz w:val="22"/>
          <w:szCs w:val="22"/>
        </w:rPr>
        <w:t>into</w:t>
      </w:r>
      <w:r>
        <w:rPr>
          <w:sz w:val="22"/>
          <w:szCs w:val="22"/>
        </w:rPr>
        <w:t xml:space="preserve"> the</w:t>
      </w:r>
      <w:r w:rsidRPr="00A62F09">
        <w:rPr>
          <w:sz w:val="22"/>
          <w:szCs w:val="22"/>
        </w:rPr>
        <w:t xml:space="preserve"> existing</w:t>
      </w:r>
      <w:r>
        <w:rPr>
          <w:sz w:val="22"/>
          <w:szCs w:val="22"/>
        </w:rPr>
        <w:t xml:space="preserve"> enclosed</w:t>
      </w:r>
      <w:r w:rsidRPr="00A62F09">
        <w:rPr>
          <w:sz w:val="22"/>
          <w:szCs w:val="22"/>
        </w:rPr>
        <w:t xml:space="preserve"> L</w:t>
      </w:r>
      <w:r>
        <w:rPr>
          <w:sz w:val="22"/>
          <w:szCs w:val="22"/>
        </w:rPr>
        <w:t>1 and L2</w:t>
      </w:r>
      <w:r w:rsidRPr="00A62F09">
        <w:rPr>
          <w:sz w:val="22"/>
          <w:szCs w:val="22"/>
        </w:rPr>
        <w:t xml:space="preserve"> conveyors</w:t>
      </w:r>
      <w:r>
        <w:rPr>
          <w:sz w:val="22"/>
          <w:szCs w:val="22"/>
        </w:rPr>
        <w:t>)</w:t>
      </w:r>
      <w:r w:rsidRPr="00A62F09">
        <w:rPr>
          <w:sz w:val="22"/>
          <w:szCs w:val="22"/>
        </w:rPr>
        <w:t>.</w:t>
      </w:r>
      <w:r>
        <w:rPr>
          <w:sz w:val="22"/>
          <w:szCs w:val="22"/>
        </w:rPr>
        <w:t xml:space="preserve">  The combination of the grizzly hopper, the 72” belt conveyor and the 54” belt conveyor will be collectively referred to as the J3 Conveyors.  All drop points within the new conveyor system will be completely enclosed with no regular emissions to the atmosphere.</w:t>
      </w:r>
    </w:p>
    <w:p w:rsidR="00095095" w:rsidRDefault="00095095" w:rsidP="00095095">
      <w:pPr>
        <w:autoSpaceDE w:val="0"/>
        <w:autoSpaceDN w:val="0"/>
        <w:adjustRightInd w:val="0"/>
        <w:spacing w:after="120"/>
        <w:ind w:left="2340" w:hanging="180"/>
        <w:rPr>
          <w:sz w:val="22"/>
          <w:szCs w:val="22"/>
        </w:rPr>
      </w:pPr>
      <w:r>
        <w:rPr>
          <w:b/>
          <w:noProof/>
          <w:sz w:val="22"/>
          <w:szCs w:val="22"/>
        </w:rPr>
        <w:drawing>
          <wp:anchor distT="0" distB="0" distL="114300" distR="114300" simplePos="0" relativeHeight="251662848" behindDoc="1" locked="0" layoutInCell="1" allowOverlap="1">
            <wp:simplePos x="0" y="0"/>
            <wp:positionH relativeFrom="column">
              <wp:posOffset>-2540</wp:posOffset>
            </wp:positionH>
            <wp:positionV relativeFrom="paragraph">
              <wp:posOffset>186055</wp:posOffset>
            </wp:positionV>
            <wp:extent cx="6363970" cy="3639820"/>
            <wp:effectExtent l="19050" t="0" r="0" b="0"/>
            <wp:wrapThrough wrapText="bothSides">
              <wp:wrapPolygon edited="0">
                <wp:start x="-65" y="0"/>
                <wp:lineTo x="-65" y="21479"/>
                <wp:lineTo x="21596" y="21479"/>
                <wp:lineTo x="21596" y="0"/>
                <wp:lineTo x="-65" y="0"/>
              </wp:wrapPolygon>
            </wp:wrapThrough>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srcRect/>
                    <a:stretch>
                      <a:fillRect/>
                    </a:stretch>
                  </pic:blipFill>
                  <pic:spPr bwMode="auto">
                    <a:xfrm>
                      <a:off x="0" y="0"/>
                      <a:ext cx="6363970" cy="3639820"/>
                    </a:xfrm>
                    <a:prstGeom prst="rect">
                      <a:avLst/>
                    </a:prstGeom>
                    <a:noFill/>
                    <a:ln w="9525">
                      <a:noFill/>
                      <a:miter lim="800000"/>
                      <a:headEnd/>
                      <a:tailEnd/>
                    </a:ln>
                  </pic:spPr>
                </pic:pic>
              </a:graphicData>
            </a:graphic>
          </wp:anchor>
        </w:drawing>
      </w:r>
      <w:r w:rsidRPr="007E6412">
        <w:rPr>
          <w:b/>
          <w:sz w:val="22"/>
          <w:szCs w:val="22"/>
        </w:rPr>
        <w:t xml:space="preserve">Proposed </w:t>
      </w:r>
      <w:r>
        <w:rPr>
          <w:b/>
          <w:sz w:val="22"/>
          <w:szCs w:val="22"/>
        </w:rPr>
        <w:t xml:space="preserve">Supplemental Material </w:t>
      </w:r>
      <w:r w:rsidRPr="007E6412">
        <w:rPr>
          <w:b/>
          <w:sz w:val="22"/>
          <w:szCs w:val="22"/>
        </w:rPr>
        <w:t>Conveyance System</w:t>
      </w:r>
    </w:p>
    <w:p w:rsidR="00930A9C" w:rsidRDefault="00A62F09" w:rsidP="00095095">
      <w:pPr>
        <w:autoSpaceDE w:val="0"/>
        <w:autoSpaceDN w:val="0"/>
        <w:adjustRightInd w:val="0"/>
        <w:spacing w:after="120"/>
        <w:rPr>
          <w:sz w:val="22"/>
          <w:szCs w:val="22"/>
        </w:rPr>
      </w:pPr>
      <w:r w:rsidRPr="00A62F09">
        <w:rPr>
          <w:sz w:val="22"/>
          <w:szCs w:val="22"/>
        </w:rPr>
        <w:t>The existing in</w:t>
      </w:r>
      <w:r w:rsidR="0027113E">
        <w:rPr>
          <w:sz w:val="22"/>
          <w:szCs w:val="22"/>
        </w:rPr>
        <w:t>-</w:t>
      </w:r>
      <w:r w:rsidRPr="00A62F09">
        <w:rPr>
          <w:sz w:val="22"/>
          <w:szCs w:val="22"/>
        </w:rPr>
        <w:t>feed hopper</w:t>
      </w:r>
      <w:r w:rsidR="001E6AB4">
        <w:rPr>
          <w:sz w:val="22"/>
          <w:szCs w:val="22"/>
        </w:rPr>
        <w:t>s</w:t>
      </w:r>
      <w:r w:rsidR="00732276">
        <w:rPr>
          <w:sz w:val="22"/>
          <w:szCs w:val="22"/>
        </w:rPr>
        <w:t xml:space="preserve"> (</w:t>
      </w:r>
      <w:r w:rsidR="0027113E">
        <w:rPr>
          <w:sz w:val="22"/>
          <w:szCs w:val="22"/>
        </w:rPr>
        <w:t>for conveyors L1 and L2</w:t>
      </w:r>
      <w:r w:rsidR="00732276">
        <w:rPr>
          <w:sz w:val="22"/>
          <w:szCs w:val="22"/>
        </w:rPr>
        <w:t>)</w:t>
      </w:r>
      <w:r w:rsidRPr="00A62F09">
        <w:rPr>
          <w:sz w:val="22"/>
          <w:szCs w:val="22"/>
        </w:rPr>
        <w:t xml:space="preserve"> consist of four (4) K feeders (K1A, K1B, K2A, K2B)</w:t>
      </w:r>
      <w:r w:rsidR="006E6C8F" w:rsidRPr="00A62F09">
        <w:rPr>
          <w:sz w:val="22"/>
          <w:szCs w:val="22"/>
        </w:rPr>
        <w:t>.</w:t>
      </w:r>
      <w:r w:rsidRPr="00A62F09">
        <w:rPr>
          <w:sz w:val="22"/>
          <w:szCs w:val="22"/>
        </w:rPr>
        <w:t xml:space="preserve">  Feeders K1A and K2A will remain in place to convey beneficiated fly ash to the </w:t>
      </w:r>
      <w:r w:rsidR="001732A6">
        <w:rPr>
          <w:sz w:val="22"/>
          <w:szCs w:val="22"/>
        </w:rPr>
        <w:t xml:space="preserve">two </w:t>
      </w:r>
      <w:r w:rsidRPr="00A62F09">
        <w:rPr>
          <w:sz w:val="22"/>
          <w:szCs w:val="22"/>
        </w:rPr>
        <w:t xml:space="preserve">L conveyors.  Feeders K1B </w:t>
      </w:r>
      <w:r w:rsidRPr="00A62F09">
        <w:rPr>
          <w:sz w:val="22"/>
          <w:szCs w:val="22"/>
        </w:rPr>
        <w:lastRenderedPageBreak/>
        <w:t xml:space="preserve">and K2B will be dismantled and </w:t>
      </w:r>
      <w:r w:rsidR="0027113E">
        <w:rPr>
          <w:sz w:val="22"/>
          <w:szCs w:val="22"/>
        </w:rPr>
        <w:t>replaced by a new enclosed hopper</w:t>
      </w:r>
      <w:r w:rsidRPr="00A62F09">
        <w:rPr>
          <w:sz w:val="22"/>
          <w:szCs w:val="22"/>
        </w:rPr>
        <w:t xml:space="preserve"> to </w:t>
      </w:r>
      <w:r w:rsidR="0027113E">
        <w:rPr>
          <w:sz w:val="22"/>
          <w:szCs w:val="22"/>
        </w:rPr>
        <w:t>accommodate</w:t>
      </w:r>
      <w:r w:rsidRPr="00A62F09">
        <w:rPr>
          <w:sz w:val="22"/>
          <w:szCs w:val="22"/>
        </w:rPr>
        <w:t xml:space="preserve"> the </w:t>
      </w:r>
      <w:r w:rsidR="0027113E">
        <w:rPr>
          <w:sz w:val="22"/>
          <w:szCs w:val="22"/>
        </w:rPr>
        <w:t xml:space="preserve">full </w:t>
      </w:r>
      <w:r w:rsidR="0027113E" w:rsidRPr="00A62F09">
        <w:rPr>
          <w:sz w:val="22"/>
          <w:szCs w:val="22"/>
        </w:rPr>
        <w:t xml:space="preserve">2,000 tons per hour </w:t>
      </w:r>
      <w:r w:rsidR="0027113E">
        <w:rPr>
          <w:sz w:val="22"/>
          <w:szCs w:val="22"/>
        </w:rPr>
        <w:t>(TPH)</w:t>
      </w:r>
      <w:r w:rsidR="0027113E" w:rsidRPr="00A62F09">
        <w:rPr>
          <w:sz w:val="22"/>
          <w:szCs w:val="22"/>
        </w:rPr>
        <w:t xml:space="preserve"> </w:t>
      </w:r>
      <w:r w:rsidRPr="00A62F09">
        <w:rPr>
          <w:sz w:val="22"/>
          <w:szCs w:val="22"/>
        </w:rPr>
        <w:t xml:space="preserve">conveying </w:t>
      </w:r>
      <w:r w:rsidR="0027113E">
        <w:rPr>
          <w:sz w:val="22"/>
          <w:szCs w:val="22"/>
        </w:rPr>
        <w:t>capabilities</w:t>
      </w:r>
      <w:r w:rsidRPr="00A62F09">
        <w:rPr>
          <w:sz w:val="22"/>
          <w:szCs w:val="22"/>
        </w:rPr>
        <w:t xml:space="preserve"> </w:t>
      </w:r>
      <w:r w:rsidR="0027113E">
        <w:rPr>
          <w:sz w:val="22"/>
          <w:szCs w:val="22"/>
        </w:rPr>
        <w:t>of the new J3 conveyors</w:t>
      </w:r>
      <w:r w:rsidRPr="00A62F09">
        <w:rPr>
          <w:sz w:val="22"/>
          <w:szCs w:val="22"/>
        </w:rPr>
        <w:t xml:space="preserve">.  </w:t>
      </w:r>
    </w:p>
    <w:p w:rsidR="00095095" w:rsidRDefault="00095095" w:rsidP="00095095">
      <w:pPr>
        <w:autoSpaceDE w:val="0"/>
        <w:autoSpaceDN w:val="0"/>
        <w:adjustRightInd w:val="0"/>
        <w:spacing w:after="120"/>
        <w:jc w:val="center"/>
        <w:rPr>
          <w:sz w:val="22"/>
          <w:szCs w:val="22"/>
        </w:rPr>
      </w:pPr>
      <w:r>
        <w:rPr>
          <w:b/>
          <w:sz w:val="22"/>
          <w:szCs w:val="22"/>
        </w:rPr>
        <w:t xml:space="preserve">BBS Conveyor Systems Layout and </w:t>
      </w:r>
      <w:r w:rsidRPr="007E6412">
        <w:rPr>
          <w:b/>
          <w:sz w:val="22"/>
          <w:szCs w:val="22"/>
        </w:rPr>
        <w:t xml:space="preserve">Proposed </w:t>
      </w:r>
      <w:r>
        <w:rPr>
          <w:b/>
          <w:sz w:val="22"/>
          <w:szCs w:val="22"/>
        </w:rPr>
        <w:t>J3 Conveyors</w:t>
      </w:r>
    </w:p>
    <w:p w:rsidR="00DB098B" w:rsidRPr="00C154A8" w:rsidRDefault="00F91E33" w:rsidP="00095095">
      <w:pPr>
        <w:autoSpaceDE w:val="0"/>
        <w:autoSpaceDN w:val="0"/>
        <w:adjustRightInd w:val="0"/>
        <w:spacing w:after="120"/>
        <w:jc w:val="center"/>
        <w:rPr>
          <w:sz w:val="22"/>
          <w:szCs w:val="22"/>
        </w:rPr>
      </w:pPr>
      <w:r>
        <w:rPr>
          <w:noProof/>
          <w:sz w:val="22"/>
          <w:szCs w:val="22"/>
        </w:rPr>
        <w:drawing>
          <wp:inline distT="0" distB="0" distL="0" distR="0">
            <wp:extent cx="6423314" cy="3601793"/>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6421120" cy="3600563"/>
                    </a:xfrm>
                    <a:prstGeom prst="rect">
                      <a:avLst/>
                    </a:prstGeom>
                    <a:noFill/>
                    <a:ln w="9525">
                      <a:noFill/>
                      <a:miter lim="800000"/>
                      <a:headEnd/>
                      <a:tailEnd/>
                    </a:ln>
                  </pic:spPr>
                </pic:pic>
              </a:graphicData>
            </a:graphic>
          </wp:inline>
        </w:drawing>
      </w:r>
    </w:p>
    <w:p w:rsidR="00C92391" w:rsidRDefault="001D7A22" w:rsidP="00095095">
      <w:pPr>
        <w:autoSpaceDE w:val="0"/>
        <w:autoSpaceDN w:val="0"/>
        <w:adjustRightInd w:val="0"/>
        <w:spacing w:after="120"/>
        <w:rPr>
          <w:sz w:val="22"/>
          <w:szCs w:val="22"/>
        </w:rPr>
      </w:pPr>
      <w:r w:rsidRPr="00D00BDF">
        <w:rPr>
          <w:sz w:val="22"/>
          <w:szCs w:val="22"/>
        </w:rPr>
        <w:t>The J3 Conveyor System will serve as a supplemental conveyance system for coal, coal blends and coal supplemental additives (such as limestone, flux, magnesium oxide, petroleum coke, ecotherm) f</w:t>
      </w:r>
      <w:r>
        <w:rPr>
          <w:sz w:val="22"/>
          <w:szCs w:val="22"/>
        </w:rPr>
        <w:t>or use with the existing conveyance feed system.  In the event the use of an existing back up coal conveyor system or related equipment is warranted, the J3 Conveyor System will be available to operate continuously.  The maximum throughput rate is designed for 2,000 TPH of solid materials, which is about half of the feed rate of the primary (existing) conveyor systems</w:t>
      </w:r>
      <w:r w:rsidRPr="008C0041">
        <w:rPr>
          <w:sz w:val="22"/>
          <w:szCs w:val="22"/>
        </w:rPr>
        <w:t>.</w:t>
      </w:r>
    </w:p>
    <w:p w:rsidR="005E1D16" w:rsidRPr="005E1D16" w:rsidRDefault="005E1D16" w:rsidP="00095095">
      <w:pPr>
        <w:spacing w:after="120"/>
        <w:rPr>
          <w:sz w:val="22"/>
          <w:szCs w:val="22"/>
        </w:rPr>
      </w:pPr>
      <w:r w:rsidRPr="005E1D16">
        <w:rPr>
          <w:sz w:val="22"/>
          <w:szCs w:val="22"/>
        </w:rPr>
        <w:t xml:space="preserve">The </w:t>
      </w:r>
      <w:r w:rsidR="00A72D82">
        <w:rPr>
          <w:sz w:val="22"/>
          <w:szCs w:val="22"/>
        </w:rPr>
        <w:t xml:space="preserve">following </w:t>
      </w:r>
      <w:r w:rsidR="00A90CCC" w:rsidRPr="00A90CCC">
        <w:rPr>
          <w:sz w:val="22"/>
          <w:szCs w:val="22"/>
          <w:u w:val="single"/>
        </w:rPr>
        <w:t>existing</w:t>
      </w:r>
      <w:r w:rsidR="00A90CCC">
        <w:rPr>
          <w:sz w:val="22"/>
          <w:szCs w:val="22"/>
        </w:rPr>
        <w:t xml:space="preserve"> </w:t>
      </w:r>
      <w:r w:rsidR="00A72D82">
        <w:rPr>
          <w:sz w:val="22"/>
          <w:szCs w:val="22"/>
        </w:rPr>
        <w:t>emissions unit is affected by this project</w:t>
      </w:r>
      <w:r w:rsidRPr="005E1D16">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tblPr>
      <w:tblGrid>
        <w:gridCol w:w="1314"/>
        <w:gridCol w:w="8640"/>
      </w:tblGrid>
      <w:tr w:rsidR="005E1D16" w:rsidRPr="00B67169" w:rsidTr="005E1D16">
        <w:tc>
          <w:tcPr>
            <w:tcW w:w="1314" w:type="dxa"/>
            <w:tcBorders>
              <w:top w:val="single" w:sz="12" w:space="0" w:color="auto"/>
              <w:bottom w:val="single" w:sz="12" w:space="0" w:color="auto"/>
            </w:tcBorders>
          </w:tcPr>
          <w:p w:rsidR="005E1D16" w:rsidRPr="00B67169" w:rsidRDefault="005E1D16" w:rsidP="00095095">
            <w:pPr>
              <w:jc w:val="center"/>
              <w:rPr>
                <w:b/>
                <w:sz w:val="22"/>
                <w:szCs w:val="22"/>
              </w:rPr>
            </w:pPr>
            <w:r w:rsidRPr="00B67169">
              <w:rPr>
                <w:b/>
                <w:sz w:val="22"/>
                <w:szCs w:val="22"/>
              </w:rPr>
              <w:t>E.U. ID No.</w:t>
            </w:r>
          </w:p>
        </w:tc>
        <w:tc>
          <w:tcPr>
            <w:tcW w:w="8640" w:type="dxa"/>
            <w:tcBorders>
              <w:top w:val="single" w:sz="12" w:space="0" w:color="auto"/>
              <w:bottom w:val="single" w:sz="12" w:space="0" w:color="auto"/>
            </w:tcBorders>
          </w:tcPr>
          <w:p w:rsidR="005E1D16" w:rsidRPr="00D56800" w:rsidRDefault="005E1D16" w:rsidP="00095095">
            <w:pPr>
              <w:pStyle w:val="Heading2"/>
              <w:rPr>
                <w:b/>
                <w:i w:val="0"/>
                <w:sz w:val="22"/>
                <w:szCs w:val="22"/>
              </w:rPr>
            </w:pPr>
            <w:r w:rsidRPr="00D56800">
              <w:rPr>
                <w:b/>
                <w:i w:val="0"/>
                <w:sz w:val="22"/>
                <w:szCs w:val="22"/>
              </w:rPr>
              <w:t>Brief Description</w:t>
            </w:r>
          </w:p>
        </w:tc>
      </w:tr>
      <w:tr w:rsidR="005E1D16" w:rsidRPr="00B67169" w:rsidTr="005E1D16">
        <w:tc>
          <w:tcPr>
            <w:tcW w:w="9954" w:type="dxa"/>
            <w:gridSpan w:val="2"/>
          </w:tcPr>
          <w:p w:rsidR="005E1D16" w:rsidRPr="00B67169" w:rsidRDefault="005E1D16" w:rsidP="00095095">
            <w:pPr>
              <w:jc w:val="center"/>
              <w:rPr>
                <w:i/>
                <w:sz w:val="22"/>
                <w:szCs w:val="22"/>
              </w:rPr>
            </w:pPr>
            <w:r w:rsidRPr="00B67169">
              <w:rPr>
                <w:i/>
                <w:sz w:val="22"/>
                <w:szCs w:val="22"/>
              </w:rPr>
              <w:t>Solid Fuel Yard</w:t>
            </w:r>
          </w:p>
        </w:tc>
      </w:tr>
      <w:tr w:rsidR="005E1D16" w:rsidRPr="00B67169" w:rsidTr="005E1D16">
        <w:tc>
          <w:tcPr>
            <w:tcW w:w="1314" w:type="dxa"/>
          </w:tcPr>
          <w:p w:rsidR="005E1D16" w:rsidRPr="00B67169" w:rsidRDefault="005E1D16" w:rsidP="00095095">
            <w:pPr>
              <w:jc w:val="center"/>
              <w:rPr>
                <w:sz w:val="22"/>
                <w:szCs w:val="22"/>
              </w:rPr>
            </w:pPr>
            <w:r w:rsidRPr="00B67169">
              <w:rPr>
                <w:sz w:val="22"/>
                <w:szCs w:val="22"/>
              </w:rPr>
              <w:t>-010</w:t>
            </w:r>
          </w:p>
        </w:tc>
        <w:tc>
          <w:tcPr>
            <w:tcW w:w="8640" w:type="dxa"/>
          </w:tcPr>
          <w:p w:rsidR="005E1D16" w:rsidRPr="00B67169" w:rsidRDefault="005E1D16" w:rsidP="00095095">
            <w:pPr>
              <w:rPr>
                <w:sz w:val="22"/>
                <w:szCs w:val="22"/>
              </w:rPr>
            </w:pPr>
            <w:r w:rsidRPr="00B67169">
              <w:rPr>
                <w:sz w:val="22"/>
                <w:szCs w:val="22"/>
              </w:rPr>
              <w:t>Fugitive Emissions from Fuel Unloading and Handling Operations</w:t>
            </w:r>
          </w:p>
        </w:tc>
      </w:tr>
    </w:tbl>
    <w:p w:rsidR="005E1D16" w:rsidRDefault="005E1D16" w:rsidP="00095095">
      <w:pPr>
        <w:spacing w:before="120" w:after="120"/>
        <w:rPr>
          <w:sz w:val="22"/>
          <w:szCs w:val="22"/>
        </w:rPr>
      </w:pPr>
      <w:r w:rsidRPr="00B67169">
        <w:rPr>
          <w:sz w:val="22"/>
          <w:szCs w:val="22"/>
        </w:rPr>
        <w:t>Th</w:t>
      </w:r>
      <w:r w:rsidR="00162DD7">
        <w:rPr>
          <w:sz w:val="22"/>
          <w:szCs w:val="22"/>
        </w:rPr>
        <w:t>is</w:t>
      </w:r>
      <w:r w:rsidRPr="00B67169">
        <w:rPr>
          <w:sz w:val="22"/>
          <w:szCs w:val="22"/>
        </w:rPr>
        <w:t xml:space="preserve"> </w:t>
      </w:r>
      <w:r w:rsidR="00162DD7">
        <w:rPr>
          <w:sz w:val="22"/>
          <w:szCs w:val="22"/>
        </w:rPr>
        <w:t xml:space="preserve">existing </w:t>
      </w:r>
      <w:r w:rsidRPr="00B67169">
        <w:rPr>
          <w:sz w:val="22"/>
          <w:szCs w:val="22"/>
        </w:rPr>
        <w:t>emissions unit consist</w:t>
      </w:r>
      <w:r w:rsidR="00162DD7">
        <w:rPr>
          <w:sz w:val="22"/>
          <w:szCs w:val="22"/>
        </w:rPr>
        <w:t>s</w:t>
      </w:r>
      <w:r w:rsidRPr="00B67169">
        <w:rPr>
          <w:sz w:val="22"/>
          <w:szCs w:val="22"/>
        </w:rPr>
        <w:t xml:space="preserve"> of solid fuel handling and storage activities at the Big Bend Station.</w:t>
      </w:r>
      <w:r w:rsidR="000F6922">
        <w:rPr>
          <w:sz w:val="22"/>
          <w:szCs w:val="22"/>
        </w:rPr>
        <w:t xml:space="preserve">  </w:t>
      </w:r>
      <w:r w:rsidRPr="00B67169">
        <w:rPr>
          <w:sz w:val="22"/>
          <w:szCs w:val="22"/>
        </w:rPr>
        <w:t xml:space="preserve">Solid fuel (consisting </w:t>
      </w:r>
      <w:r w:rsidR="00C36F3E">
        <w:rPr>
          <w:sz w:val="22"/>
          <w:szCs w:val="22"/>
        </w:rPr>
        <w:t xml:space="preserve">primarily </w:t>
      </w:r>
      <w:r w:rsidRPr="00B67169">
        <w:rPr>
          <w:sz w:val="22"/>
          <w:szCs w:val="22"/>
        </w:rPr>
        <w:t>of coal and petcoke) is unloaded from ships and barges into the solid fuel yard, the blending bins or directly to the tripper room via belt conveyors.  Solid fuel may also be received</w:t>
      </w:r>
      <w:r w:rsidR="00041E01">
        <w:rPr>
          <w:sz w:val="22"/>
          <w:szCs w:val="22"/>
        </w:rPr>
        <w:t xml:space="preserve"> and </w:t>
      </w:r>
      <w:r w:rsidRPr="00B67169">
        <w:rPr>
          <w:sz w:val="22"/>
          <w:szCs w:val="22"/>
        </w:rPr>
        <w:t>unloaded by railcar and conveyed to the fuel yard.  Solid fuel from the piles is loaded onto belt conveyors using a rail mounted or mobile reclaimer.  The solid fuel is then bel</w:t>
      </w:r>
      <w:r w:rsidR="00BB0080">
        <w:rPr>
          <w:sz w:val="22"/>
          <w:szCs w:val="22"/>
        </w:rPr>
        <w:t>t conveyed to the blending bins</w:t>
      </w:r>
      <w:r w:rsidRPr="00B67169">
        <w:rPr>
          <w:sz w:val="22"/>
          <w:szCs w:val="22"/>
        </w:rPr>
        <w:t>, which consists of six storage bins, where the solid fuel may be blended for use at the plant, or transloaded in</w:t>
      </w:r>
      <w:r w:rsidR="00BB0080">
        <w:rPr>
          <w:sz w:val="22"/>
          <w:szCs w:val="22"/>
        </w:rPr>
        <w:t>to trucks for shipment off site</w:t>
      </w:r>
      <w:r>
        <w:rPr>
          <w:sz w:val="22"/>
          <w:szCs w:val="22"/>
        </w:rPr>
        <w:t>.</w:t>
      </w:r>
    </w:p>
    <w:p w:rsidR="000F6922" w:rsidRPr="005E1D16" w:rsidRDefault="00162DD7" w:rsidP="00095095">
      <w:pPr>
        <w:spacing w:before="120" w:after="120"/>
        <w:rPr>
          <w:sz w:val="22"/>
          <w:szCs w:val="22"/>
        </w:rPr>
      </w:pPr>
      <w:r>
        <w:rPr>
          <w:sz w:val="22"/>
          <w:szCs w:val="22"/>
        </w:rPr>
        <w:t>TECO is adding t</w:t>
      </w:r>
      <w:r w:rsidR="000F6922" w:rsidRPr="005E1D16">
        <w:rPr>
          <w:sz w:val="22"/>
          <w:szCs w:val="22"/>
        </w:rPr>
        <w:t xml:space="preserve">he </w:t>
      </w:r>
      <w:r w:rsidR="000F6922">
        <w:rPr>
          <w:sz w:val="22"/>
          <w:szCs w:val="22"/>
        </w:rPr>
        <w:t xml:space="preserve">following </w:t>
      </w:r>
      <w:r w:rsidR="000F6922" w:rsidRPr="00A90CCC">
        <w:rPr>
          <w:sz w:val="22"/>
          <w:szCs w:val="22"/>
          <w:u w:val="single"/>
        </w:rPr>
        <w:t>new</w:t>
      </w:r>
      <w:r w:rsidR="000F6922">
        <w:rPr>
          <w:sz w:val="22"/>
          <w:szCs w:val="22"/>
        </w:rPr>
        <w:t xml:space="preserve"> emissions unit to the Solid Fuel Yard</w:t>
      </w:r>
      <w:r w:rsidR="000F6922" w:rsidRPr="005E1D16">
        <w:rPr>
          <w:sz w:val="22"/>
          <w:szCs w:val="22"/>
        </w:rPr>
        <w:t>:</w:t>
      </w:r>
    </w:p>
    <w:tbl>
      <w:tblPr>
        <w:tblW w:w="1013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tblPr>
      <w:tblGrid>
        <w:gridCol w:w="1314"/>
        <w:gridCol w:w="8820"/>
      </w:tblGrid>
      <w:tr w:rsidR="000F6922" w:rsidRPr="00B67169" w:rsidTr="00162DD7">
        <w:tc>
          <w:tcPr>
            <w:tcW w:w="1314" w:type="dxa"/>
            <w:tcBorders>
              <w:top w:val="single" w:sz="12" w:space="0" w:color="auto"/>
              <w:bottom w:val="single" w:sz="12" w:space="0" w:color="auto"/>
            </w:tcBorders>
          </w:tcPr>
          <w:p w:rsidR="000F6922" w:rsidRPr="00B67169" w:rsidRDefault="000F6922" w:rsidP="00095095">
            <w:pPr>
              <w:jc w:val="center"/>
              <w:rPr>
                <w:b/>
                <w:sz w:val="22"/>
                <w:szCs w:val="22"/>
              </w:rPr>
            </w:pPr>
            <w:r w:rsidRPr="00B67169">
              <w:rPr>
                <w:b/>
                <w:sz w:val="22"/>
                <w:szCs w:val="22"/>
              </w:rPr>
              <w:t>E.U. ID No.</w:t>
            </w:r>
          </w:p>
        </w:tc>
        <w:tc>
          <w:tcPr>
            <w:tcW w:w="8820" w:type="dxa"/>
            <w:tcBorders>
              <w:top w:val="single" w:sz="12" w:space="0" w:color="auto"/>
              <w:bottom w:val="single" w:sz="12" w:space="0" w:color="auto"/>
            </w:tcBorders>
          </w:tcPr>
          <w:p w:rsidR="000F6922" w:rsidRPr="00D56800" w:rsidRDefault="000F6922" w:rsidP="00095095">
            <w:pPr>
              <w:pStyle w:val="Heading2"/>
              <w:rPr>
                <w:b/>
                <w:i w:val="0"/>
                <w:sz w:val="22"/>
                <w:szCs w:val="22"/>
              </w:rPr>
            </w:pPr>
            <w:r w:rsidRPr="00D56800">
              <w:rPr>
                <w:b/>
                <w:i w:val="0"/>
                <w:sz w:val="22"/>
                <w:szCs w:val="22"/>
              </w:rPr>
              <w:t>Brief Description</w:t>
            </w:r>
          </w:p>
        </w:tc>
      </w:tr>
      <w:tr w:rsidR="000F6922" w:rsidRPr="00B67169" w:rsidTr="00162DD7">
        <w:tc>
          <w:tcPr>
            <w:tcW w:w="10134" w:type="dxa"/>
            <w:gridSpan w:val="2"/>
          </w:tcPr>
          <w:p w:rsidR="000F6922" w:rsidRPr="00B67169" w:rsidRDefault="000F6922" w:rsidP="00095095">
            <w:pPr>
              <w:jc w:val="center"/>
              <w:rPr>
                <w:i/>
                <w:sz w:val="22"/>
                <w:szCs w:val="22"/>
              </w:rPr>
            </w:pPr>
            <w:r w:rsidRPr="00B67169">
              <w:rPr>
                <w:i/>
                <w:sz w:val="22"/>
                <w:szCs w:val="22"/>
              </w:rPr>
              <w:t>Solid Fuel Yard</w:t>
            </w:r>
          </w:p>
        </w:tc>
      </w:tr>
      <w:tr w:rsidR="000F6922" w:rsidRPr="00B67169" w:rsidTr="00162DD7">
        <w:tc>
          <w:tcPr>
            <w:tcW w:w="1314" w:type="dxa"/>
          </w:tcPr>
          <w:p w:rsidR="000F6922" w:rsidRPr="00B67169" w:rsidRDefault="000F6922" w:rsidP="00095095">
            <w:pPr>
              <w:jc w:val="center"/>
              <w:rPr>
                <w:sz w:val="22"/>
                <w:szCs w:val="22"/>
              </w:rPr>
            </w:pPr>
            <w:r w:rsidRPr="00B67169">
              <w:rPr>
                <w:sz w:val="22"/>
                <w:szCs w:val="22"/>
              </w:rPr>
              <w:t>-0</w:t>
            </w:r>
            <w:r>
              <w:rPr>
                <w:sz w:val="22"/>
                <w:szCs w:val="22"/>
              </w:rPr>
              <w:t>48</w:t>
            </w:r>
          </w:p>
        </w:tc>
        <w:tc>
          <w:tcPr>
            <w:tcW w:w="8820" w:type="dxa"/>
          </w:tcPr>
          <w:p w:rsidR="000F6922" w:rsidRPr="00B67169" w:rsidRDefault="000F6922" w:rsidP="00095095">
            <w:pPr>
              <w:rPr>
                <w:sz w:val="22"/>
                <w:szCs w:val="22"/>
              </w:rPr>
            </w:pPr>
            <w:r>
              <w:rPr>
                <w:sz w:val="22"/>
                <w:szCs w:val="22"/>
              </w:rPr>
              <w:t xml:space="preserve">Supplemental Material Handling Conveyor System or J3 Conveyors </w:t>
            </w:r>
          </w:p>
        </w:tc>
      </w:tr>
    </w:tbl>
    <w:p w:rsidR="00A90CCC" w:rsidRDefault="00A90CCC" w:rsidP="006A441F">
      <w:pPr>
        <w:spacing w:before="60" w:after="120"/>
        <w:rPr>
          <w:sz w:val="22"/>
          <w:szCs w:val="22"/>
        </w:rPr>
      </w:pPr>
      <w:r w:rsidRPr="00B67169">
        <w:rPr>
          <w:sz w:val="22"/>
          <w:szCs w:val="22"/>
        </w:rPr>
        <w:lastRenderedPageBreak/>
        <w:t>Th</w:t>
      </w:r>
      <w:r w:rsidR="00162DD7">
        <w:rPr>
          <w:sz w:val="22"/>
          <w:szCs w:val="22"/>
        </w:rPr>
        <w:t>e</w:t>
      </w:r>
      <w:r w:rsidRPr="00B67169">
        <w:rPr>
          <w:sz w:val="22"/>
          <w:szCs w:val="22"/>
        </w:rPr>
        <w:t xml:space="preserve"> </w:t>
      </w:r>
      <w:r>
        <w:rPr>
          <w:sz w:val="22"/>
          <w:szCs w:val="22"/>
        </w:rPr>
        <w:t>new</w:t>
      </w:r>
      <w:r w:rsidR="00162DD7">
        <w:rPr>
          <w:sz w:val="22"/>
          <w:szCs w:val="22"/>
        </w:rPr>
        <w:t xml:space="preserve"> emissions unit is comprised of the following</w:t>
      </w:r>
      <w:r>
        <w:rPr>
          <w:sz w:val="22"/>
          <w:szCs w:val="22"/>
        </w:rPr>
        <w:t xml:space="preserve"> </w:t>
      </w:r>
      <w:r w:rsidR="00162DD7">
        <w:rPr>
          <w:sz w:val="22"/>
          <w:szCs w:val="22"/>
        </w:rPr>
        <w:t xml:space="preserve">new </w:t>
      </w:r>
      <w:r>
        <w:rPr>
          <w:sz w:val="22"/>
          <w:szCs w:val="22"/>
        </w:rPr>
        <w:t>e</w:t>
      </w:r>
      <w:r w:rsidRPr="00B67169">
        <w:rPr>
          <w:sz w:val="22"/>
          <w:szCs w:val="22"/>
        </w:rPr>
        <w:t>missions</w:t>
      </w:r>
      <w:r>
        <w:rPr>
          <w:sz w:val="22"/>
          <w:szCs w:val="22"/>
        </w:rPr>
        <w:t xml:space="preserve"> points </w:t>
      </w:r>
      <w:r w:rsidR="00F72478">
        <w:rPr>
          <w:sz w:val="22"/>
          <w:szCs w:val="22"/>
        </w:rPr>
        <w:t xml:space="preserve">for the </w:t>
      </w:r>
      <w:r w:rsidR="00041E01">
        <w:rPr>
          <w:sz w:val="22"/>
          <w:szCs w:val="22"/>
        </w:rPr>
        <w:t>supplemental material</w:t>
      </w:r>
      <w:r w:rsidR="00F72478">
        <w:rPr>
          <w:sz w:val="22"/>
          <w:szCs w:val="22"/>
        </w:rPr>
        <w:t xml:space="preserve"> conveyance system</w:t>
      </w:r>
      <w:r>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980"/>
        <w:gridCol w:w="8010"/>
      </w:tblGrid>
      <w:tr w:rsidR="00162DD7" w:rsidRPr="00B67169" w:rsidTr="00162DD7">
        <w:tc>
          <w:tcPr>
            <w:tcW w:w="1980" w:type="dxa"/>
            <w:tcBorders>
              <w:top w:val="single" w:sz="12" w:space="0" w:color="auto"/>
              <w:bottom w:val="single" w:sz="12" w:space="0" w:color="auto"/>
            </w:tcBorders>
            <w:vAlign w:val="center"/>
          </w:tcPr>
          <w:p w:rsidR="00162DD7" w:rsidRPr="00B67169" w:rsidRDefault="00162DD7" w:rsidP="00095095">
            <w:pPr>
              <w:spacing w:after="120"/>
              <w:jc w:val="center"/>
              <w:rPr>
                <w:rFonts w:ascii="Courier" w:hAnsi="Courier"/>
                <w:sz w:val="22"/>
                <w:szCs w:val="22"/>
              </w:rPr>
            </w:pPr>
            <w:r w:rsidRPr="00B67169">
              <w:rPr>
                <w:sz w:val="22"/>
                <w:szCs w:val="22"/>
              </w:rPr>
              <w:t>Point ID</w:t>
            </w:r>
          </w:p>
        </w:tc>
        <w:tc>
          <w:tcPr>
            <w:tcW w:w="8010" w:type="dxa"/>
            <w:tcBorders>
              <w:top w:val="single" w:sz="12" w:space="0" w:color="auto"/>
              <w:bottom w:val="single" w:sz="12" w:space="0" w:color="auto"/>
            </w:tcBorders>
            <w:vAlign w:val="center"/>
          </w:tcPr>
          <w:p w:rsidR="00162DD7" w:rsidRPr="00B67169" w:rsidRDefault="00162DD7" w:rsidP="00095095">
            <w:pPr>
              <w:spacing w:after="120"/>
              <w:jc w:val="center"/>
              <w:rPr>
                <w:rFonts w:ascii="Courier" w:hAnsi="Courier"/>
                <w:sz w:val="22"/>
                <w:szCs w:val="22"/>
              </w:rPr>
            </w:pPr>
            <w:r w:rsidRPr="00B67169">
              <w:rPr>
                <w:sz w:val="22"/>
                <w:szCs w:val="22"/>
              </w:rPr>
              <w:t>Description of Emissions Point</w:t>
            </w:r>
          </w:p>
        </w:tc>
      </w:tr>
      <w:tr w:rsidR="00162DD7" w:rsidRPr="00B67169" w:rsidTr="00162DD7">
        <w:tc>
          <w:tcPr>
            <w:tcW w:w="9990" w:type="dxa"/>
            <w:gridSpan w:val="2"/>
            <w:tcBorders>
              <w:top w:val="single" w:sz="12" w:space="0" w:color="auto"/>
            </w:tcBorders>
          </w:tcPr>
          <w:p w:rsidR="00162DD7" w:rsidRPr="0088353C" w:rsidRDefault="00162DD7" w:rsidP="00095095">
            <w:pPr>
              <w:jc w:val="center"/>
              <w:rPr>
                <w:i/>
                <w:sz w:val="22"/>
                <w:szCs w:val="22"/>
              </w:rPr>
            </w:pPr>
            <w:r w:rsidRPr="0088353C">
              <w:rPr>
                <w:i/>
                <w:sz w:val="24"/>
                <w:szCs w:val="24"/>
              </w:rPr>
              <w:t>Supplemental Material Handling Conveyor</w:t>
            </w:r>
            <w:r>
              <w:rPr>
                <w:i/>
                <w:sz w:val="24"/>
                <w:szCs w:val="24"/>
              </w:rPr>
              <w:t xml:space="preserve"> System (J3 conveyors)</w:t>
            </w:r>
          </w:p>
        </w:tc>
      </w:tr>
      <w:tr w:rsidR="00162DD7" w:rsidRPr="00B67169" w:rsidTr="00162DD7">
        <w:tc>
          <w:tcPr>
            <w:tcW w:w="1980" w:type="dxa"/>
          </w:tcPr>
          <w:p w:rsidR="00162DD7" w:rsidRPr="00B67169" w:rsidRDefault="00162DD7" w:rsidP="00095095">
            <w:pPr>
              <w:jc w:val="center"/>
              <w:rPr>
                <w:sz w:val="22"/>
                <w:szCs w:val="22"/>
              </w:rPr>
            </w:pPr>
            <w:r w:rsidRPr="00B67169">
              <w:rPr>
                <w:sz w:val="22"/>
                <w:szCs w:val="22"/>
              </w:rPr>
              <w:t>FH</w:t>
            </w:r>
            <w:r w:rsidRPr="00B67169">
              <w:rPr>
                <w:rFonts w:ascii="Cambria Math" w:hAnsi="Cambria Math"/>
                <w:sz w:val="22"/>
                <w:szCs w:val="22"/>
              </w:rPr>
              <w:t>‐</w:t>
            </w:r>
            <w:r>
              <w:rPr>
                <w:rFonts w:ascii="Cambria Math" w:hAnsi="Cambria Math"/>
                <w:sz w:val="22"/>
                <w:szCs w:val="22"/>
              </w:rPr>
              <w:t>100</w:t>
            </w:r>
          </w:p>
        </w:tc>
        <w:tc>
          <w:tcPr>
            <w:tcW w:w="8010" w:type="dxa"/>
          </w:tcPr>
          <w:p w:rsidR="00162DD7" w:rsidRPr="00B67169" w:rsidRDefault="00162DD7" w:rsidP="00095095">
            <w:pPr>
              <w:rPr>
                <w:sz w:val="22"/>
                <w:szCs w:val="22"/>
              </w:rPr>
            </w:pPr>
            <w:r>
              <w:rPr>
                <w:sz w:val="22"/>
                <w:szCs w:val="22"/>
              </w:rPr>
              <w:t>Dozer Stock Pile Operations</w:t>
            </w:r>
            <w:r w:rsidR="0056050F">
              <w:rPr>
                <w:sz w:val="22"/>
                <w:szCs w:val="22"/>
              </w:rPr>
              <w:t xml:space="preserve"> (unconfined fugitive emissions)</w:t>
            </w:r>
          </w:p>
        </w:tc>
      </w:tr>
      <w:tr w:rsidR="00162DD7" w:rsidRPr="00B67169" w:rsidTr="00162DD7">
        <w:tc>
          <w:tcPr>
            <w:tcW w:w="1980" w:type="dxa"/>
          </w:tcPr>
          <w:p w:rsidR="00162DD7" w:rsidRPr="00B67169" w:rsidRDefault="00162DD7" w:rsidP="00095095">
            <w:pPr>
              <w:jc w:val="center"/>
              <w:rPr>
                <w:sz w:val="22"/>
                <w:szCs w:val="22"/>
              </w:rPr>
            </w:pPr>
            <w:r w:rsidRPr="00B67169">
              <w:rPr>
                <w:sz w:val="22"/>
                <w:szCs w:val="22"/>
              </w:rPr>
              <w:t>FH</w:t>
            </w:r>
            <w:r w:rsidRPr="00B67169">
              <w:rPr>
                <w:rFonts w:ascii="Cambria Math" w:hAnsi="Cambria Math"/>
                <w:sz w:val="22"/>
                <w:szCs w:val="22"/>
              </w:rPr>
              <w:t>‐</w:t>
            </w:r>
            <w:r>
              <w:rPr>
                <w:rFonts w:ascii="Cambria Math" w:hAnsi="Cambria Math"/>
                <w:sz w:val="22"/>
                <w:szCs w:val="22"/>
              </w:rPr>
              <w:t>101</w:t>
            </w:r>
          </w:p>
        </w:tc>
        <w:tc>
          <w:tcPr>
            <w:tcW w:w="8010" w:type="dxa"/>
          </w:tcPr>
          <w:p w:rsidR="00162DD7" w:rsidRPr="00B67169" w:rsidRDefault="00162DD7" w:rsidP="00095095">
            <w:pPr>
              <w:rPr>
                <w:sz w:val="22"/>
                <w:szCs w:val="22"/>
              </w:rPr>
            </w:pPr>
            <w:r>
              <w:rPr>
                <w:sz w:val="22"/>
                <w:szCs w:val="22"/>
              </w:rPr>
              <w:t>Dozer Operations to Grizzly Hopper</w:t>
            </w:r>
            <w:r w:rsidR="0056050F">
              <w:rPr>
                <w:sz w:val="22"/>
                <w:szCs w:val="22"/>
              </w:rPr>
              <w:t xml:space="preserve"> (unconfined fugitive emissions)</w:t>
            </w:r>
          </w:p>
        </w:tc>
      </w:tr>
      <w:tr w:rsidR="00162DD7" w:rsidRPr="00B67169" w:rsidTr="00162DD7">
        <w:tc>
          <w:tcPr>
            <w:tcW w:w="1980" w:type="dxa"/>
          </w:tcPr>
          <w:p w:rsidR="00162DD7" w:rsidRPr="00B67169" w:rsidRDefault="00162DD7" w:rsidP="00095095">
            <w:pPr>
              <w:jc w:val="center"/>
              <w:rPr>
                <w:sz w:val="22"/>
                <w:szCs w:val="22"/>
              </w:rPr>
            </w:pPr>
            <w:r w:rsidRPr="00B67169">
              <w:rPr>
                <w:sz w:val="22"/>
                <w:szCs w:val="22"/>
              </w:rPr>
              <w:t>FH</w:t>
            </w:r>
            <w:r w:rsidRPr="00B67169">
              <w:rPr>
                <w:rFonts w:ascii="Cambria Math" w:hAnsi="Cambria Math"/>
                <w:sz w:val="22"/>
                <w:szCs w:val="22"/>
              </w:rPr>
              <w:t>‐</w:t>
            </w:r>
            <w:r>
              <w:rPr>
                <w:rFonts w:ascii="Cambria Math" w:hAnsi="Cambria Math"/>
                <w:sz w:val="22"/>
                <w:szCs w:val="22"/>
              </w:rPr>
              <w:t>102</w:t>
            </w:r>
          </w:p>
        </w:tc>
        <w:tc>
          <w:tcPr>
            <w:tcW w:w="8010" w:type="dxa"/>
          </w:tcPr>
          <w:p w:rsidR="00162DD7" w:rsidRPr="00B67169" w:rsidRDefault="001D7A22" w:rsidP="00095095">
            <w:pPr>
              <w:rPr>
                <w:sz w:val="22"/>
                <w:szCs w:val="22"/>
              </w:rPr>
            </w:pPr>
            <w:r>
              <w:rPr>
                <w:sz w:val="22"/>
                <w:szCs w:val="22"/>
              </w:rPr>
              <w:t>J3 Conveyor System (enclosed static drop point)</w:t>
            </w:r>
          </w:p>
        </w:tc>
      </w:tr>
      <w:tr w:rsidR="009F3A3F" w:rsidRPr="00B67169" w:rsidTr="00162DD7">
        <w:tc>
          <w:tcPr>
            <w:tcW w:w="1980" w:type="dxa"/>
          </w:tcPr>
          <w:p w:rsidR="009F3A3F" w:rsidRPr="00B67169" w:rsidRDefault="009F3A3F" w:rsidP="00095095">
            <w:pPr>
              <w:jc w:val="center"/>
              <w:rPr>
                <w:sz w:val="22"/>
                <w:szCs w:val="22"/>
              </w:rPr>
            </w:pPr>
            <w:r w:rsidRPr="00B67169">
              <w:rPr>
                <w:sz w:val="22"/>
                <w:szCs w:val="22"/>
              </w:rPr>
              <w:t>FH</w:t>
            </w:r>
            <w:r w:rsidRPr="00B67169">
              <w:rPr>
                <w:rFonts w:ascii="Cambria Math" w:hAnsi="Cambria Math"/>
                <w:sz w:val="22"/>
                <w:szCs w:val="22"/>
              </w:rPr>
              <w:t>‐</w:t>
            </w:r>
            <w:r>
              <w:rPr>
                <w:rFonts w:ascii="Cambria Math" w:hAnsi="Cambria Math"/>
                <w:sz w:val="22"/>
                <w:szCs w:val="22"/>
              </w:rPr>
              <w:t>103</w:t>
            </w:r>
          </w:p>
        </w:tc>
        <w:tc>
          <w:tcPr>
            <w:tcW w:w="8010" w:type="dxa"/>
          </w:tcPr>
          <w:p w:rsidR="009F3A3F" w:rsidRPr="00B67169" w:rsidRDefault="009F3A3F" w:rsidP="001D7A22">
            <w:pPr>
              <w:rPr>
                <w:sz w:val="22"/>
                <w:szCs w:val="22"/>
              </w:rPr>
            </w:pPr>
            <w:r>
              <w:rPr>
                <w:sz w:val="22"/>
                <w:szCs w:val="22"/>
              </w:rPr>
              <w:t xml:space="preserve">J3 Conveyor System to “K” Feeders to L1 or L2 (enclosed </w:t>
            </w:r>
            <w:r w:rsidR="001D7A22">
              <w:rPr>
                <w:sz w:val="22"/>
                <w:szCs w:val="22"/>
              </w:rPr>
              <w:t xml:space="preserve">static </w:t>
            </w:r>
            <w:r>
              <w:rPr>
                <w:sz w:val="22"/>
                <w:szCs w:val="22"/>
              </w:rPr>
              <w:t>drop point)</w:t>
            </w:r>
          </w:p>
        </w:tc>
      </w:tr>
    </w:tbl>
    <w:p w:rsidR="0056050F" w:rsidRDefault="0056050F" w:rsidP="00095095">
      <w:pPr>
        <w:spacing w:before="120" w:after="120"/>
        <w:rPr>
          <w:sz w:val="22"/>
          <w:szCs w:val="22"/>
        </w:rPr>
      </w:pPr>
      <w:r>
        <w:rPr>
          <w:sz w:val="22"/>
          <w:szCs w:val="22"/>
        </w:rPr>
        <w:t>This project also involves physical changes to the existing hopper arrangement at the K feeders (emission point FH-058 as shown in the diagram below</w:t>
      </w:r>
      <w:r w:rsidR="006A441F">
        <w:rPr>
          <w:sz w:val="22"/>
          <w:szCs w:val="22"/>
        </w:rPr>
        <w:t>)</w:t>
      </w:r>
      <w:r>
        <w:rPr>
          <w:sz w:val="22"/>
          <w:szCs w:val="22"/>
        </w:rPr>
        <w:t>:</w:t>
      </w:r>
    </w:p>
    <w:p w:rsidR="00035F33" w:rsidRDefault="00F91E33" w:rsidP="00095095">
      <w:pPr>
        <w:pStyle w:val="Heading9"/>
        <w:tabs>
          <w:tab w:val="left" w:pos="2070"/>
        </w:tabs>
        <w:spacing w:before="120"/>
        <w:ind w:left="2700" w:hanging="2700"/>
        <w:rPr>
          <w:b/>
          <w:szCs w:val="22"/>
          <w:u w:val="none"/>
        </w:rPr>
      </w:pPr>
      <w:r>
        <w:rPr>
          <w:b/>
          <w:noProof/>
          <w:szCs w:val="22"/>
          <w:u w:val="none"/>
        </w:rPr>
        <w:drawing>
          <wp:anchor distT="0" distB="0" distL="114300" distR="114300" simplePos="0" relativeHeight="251658752" behindDoc="0" locked="0" layoutInCell="1" allowOverlap="1">
            <wp:simplePos x="0" y="0"/>
            <wp:positionH relativeFrom="column">
              <wp:posOffset>0</wp:posOffset>
            </wp:positionH>
            <wp:positionV relativeFrom="paragraph">
              <wp:posOffset>12066</wp:posOffset>
            </wp:positionV>
            <wp:extent cx="6392545" cy="3441700"/>
            <wp:effectExtent l="19050" t="0" r="8255"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6392545" cy="3441700"/>
                    </a:xfrm>
                    <a:prstGeom prst="rect">
                      <a:avLst/>
                    </a:prstGeom>
                    <a:noFill/>
                    <a:ln w="9525">
                      <a:noFill/>
                      <a:miter lim="800000"/>
                      <a:headEnd/>
                      <a:tailEnd/>
                    </a:ln>
                  </pic:spPr>
                </pic:pic>
              </a:graphicData>
            </a:graphic>
          </wp:anchor>
        </w:drawing>
      </w:r>
      <w:r w:rsidR="00115A0A">
        <w:rPr>
          <w:b/>
          <w:szCs w:val="22"/>
          <w:u w:val="none"/>
        </w:rPr>
      </w:r>
      <w:r w:rsidR="00115A0A">
        <w:rPr>
          <w:b/>
          <w:szCs w:val="22"/>
          <w:u w:val="none"/>
        </w:rPr>
        <w:pict>
          <v:group id="_x0000_s1026" editas="canvas" style="width:503.35pt;height:258.3pt;mso-position-horizontal-relative:char;mso-position-vertical-relative:line" coordsize="10067,516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0067;height:5166" o:preferrelative="f">
              <v:fill o:detectmouseclick="t"/>
              <v:path o:extrusionok="t" o:connecttype="none"/>
              <o:lock v:ext="edit" text="t"/>
            </v:shape>
            <w10:wrap type="none"/>
            <w10:anchorlock/>
          </v:group>
        </w:pict>
      </w:r>
    </w:p>
    <w:p w:rsidR="00AC53F1" w:rsidRDefault="00D56800" w:rsidP="00095095">
      <w:pPr>
        <w:pStyle w:val="Heading9"/>
        <w:spacing w:before="120"/>
        <w:ind w:left="0"/>
        <w:rPr>
          <w:b/>
          <w:bCs/>
          <w:u w:val="none"/>
        </w:rPr>
      </w:pPr>
      <w:r>
        <w:rPr>
          <w:b/>
          <w:bCs/>
          <w:u w:val="none"/>
        </w:rPr>
        <w:br/>
      </w:r>
      <w:r w:rsidR="00AC53F1">
        <w:rPr>
          <w:b/>
          <w:bCs/>
          <w:u w:val="none"/>
        </w:rPr>
        <w:t>Processing Schedule</w:t>
      </w:r>
    </w:p>
    <w:p w:rsidR="00AC53F1" w:rsidRDefault="00AC53F1" w:rsidP="00095095">
      <w:pPr>
        <w:pStyle w:val="BodyText"/>
        <w:numPr>
          <w:ilvl w:val="12"/>
          <w:numId w:val="0"/>
        </w:numPr>
        <w:tabs>
          <w:tab w:val="left" w:pos="990"/>
        </w:tabs>
        <w:spacing w:after="60"/>
        <w:ind w:left="1440" w:hanging="1440"/>
        <w:rPr>
          <w:sz w:val="22"/>
        </w:rPr>
      </w:pPr>
      <w:r>
        <w:rPr>
          <w:sz w:val="22"/>
        </w:rPr>
        <w:t>03/09/2012</w:t>
      </w:r>
      <w:r>
        <w:rPr>
          <w:sz w:val="22"/>
        </w:rPr>
        <w:tab/>
      </w:r>
      <w:r w:rsidRPr="00782ABD">
        <w:rPr>
          <w:sz w:val="22"/>
        </w:rPr>
        <w:t>Received application for a minor source ai</w:t>
      </w:r>
      <w:r>
        <w:rPr>
          <w:sz w:val="22"/>
        </w:rPr>
        <w:t>r pollution construction</w:t>
      </w:r>
    </w:p>
    <w:p w:rsidR="001C4E37" w:rsidRPr="00782ABD" w:rsidRDefault="00D24547" w:rsidP="00095095">
      <w:pPr>
        <w:pStyle w:val="BodyText"/>
        <w:numPr>
          <w:ilvl w:val="12"/>
          <w:numId w:val="0"/>
        </w:numPr>
        <w:tabs>
          <w:tab w:val="left" w:pos="990"/>
        </w:tabs>
        <w:spacing w:after="60"/>
        <w:ind w:left="1440" w:hanging="1440"/>
        <w:rPr>
          <w:sz w:val="22"/>
        </w:rPr>
      </w:pPr>
      <w:r w:rsidRPr="00C6482E">
        <w:rPr>
          <w:sz w:val="22"/>
        </w:rPr>
        <w:t>03/</w:t>
      </w:r>
      <w:r w:rsidR="00403662" w:rsidRPr="00C6482E">
        <w:rPr>
          <w:sz w:val="22"/>
        </w:rPr>
        <w:t>09</w:t>
      </w:r>
      <w:r w:rsidRPr="00C6482E">
        <w:rPr>
          <w:sz w:val="22"/>
        </w:rPr>
        <w:t>/2012</w:t>
      </w:r>
      <w:r w:rsidRPr="00C6482E">
        <w:rPr>
          <w:sz w:val="22"/>
        </w:rPr>
        <w:tab/>
        <w:t>A</w:t>
      </w:r>
      <w:r w:rsidR="00D12FD5" w:rsidRPr="00C6482E">
        <w:rPr>
          <w:sz w:val="22"/>
        </w:rPr>
        <w:t xml:space="preserve">pplication </w:t>
      </w:r>
      <w:r w:rsidR="00BE0F78" w:rsidRPr="00C6482E">
        <w:rPr>
          <w:sz w:val="22"/>
        </w:rPr>
        <w:t xml:space="preserve">deemed </w:t>
      </w:r>
      <w:r w:rsidR="00D12FD5" w:rsidRPr="00C6482E">
        <w:rPr>
          <w:sz w:val="22"/>
        </w:rPr>
        <w:t>complete</w:t>
      </w:r>
      <w:r w:rsidR="00F0775A" w:rsidRPr="00C6482E">
        <w:rPr>
          <w:sz w:val="22"/>
        </w:rPr>
        <w:t>.</w:t>
      </w:r>
      <w:r w:rsidR="00BE0F78">
        <w:rPr>
          <w:sz w:val="22"/>
        </w:rPr>
        <w:t xml:space="preserve">  </w:t>
      </w:r>
    </w:p>
    <w:p w:rsidR="00193F10" w:rsidRDefault="00193F10" w:rsidP="00095095">
      <w:pPr>
        <w:widowControl w:val="0"/>
        <w:spacing w:before="120" w:after="120"/>
        <w:rPr>
          <w:b/>
          <w:caps/>
          <w:sz w:val="22"/>
        </w:rPr>
      </w:pPr>
      <w:r>
        <w:rPr>
          <w:b/>
          <w:caps/>
          <w:sz w:val="22"/>
        </w:rPr>
        <w:t xml:space="preserve">2.  </w:t>
      </w:r>
      <w:r w:rsidR="00D51D78">
        <w:rPr>
          <w:b/>
          <w:caps/>
          <w:sz w:val="22"/>
        </w:rPr>
        <w:t>PSD Applicability</w:t>
      </w:r>
    </w:p>
    <w:p w:rsidR="00D51D78" w:rsidRPr="00193F10" w:rsidRDefault="00D51D78" w:rsidP="00095095">
      <w:pPr>
        <w:pStyle w:val="BodyText"/>
        <w:widowControl w:val="0"/>
        <w:rPr>
          <w:b/>
          <w:sz w:val="22"/>
        </w:rPr>
      </w:pPr>
      <w:r w:rsidRPr="00193F10">
        <w:rPr>
          <w:b/>
          <w:sz w:val="22"/>
        </w:rPr>
        <w:t xml:space="preserve">General </w:t>
      </w:r>
      <w:r>
        <w:rPr>
          <w:b/>
          <w:sz w:val="22"/>
        </w:rPr>
        <w:t xml:space="preserve">PSD </w:t>
      </w:r>
      <w:r w:rsidRPr="00193F10">
        <w:rPr>
          <w:b/>
          <w:sz w:val="22"/>
        </w:rPr>
        <w:t>Applicability</w:t>
      </w:r>
    </w:p>
    <w:p w:rsidR="004D1D9F" w:rsidRDefault="006B6EFE" w:rsidP="00095095">
      <w:pPr>
        <w:pStyle w:val="BodyText"/>
        <w:widowControl w:val="0"/>
        <w:rPr>
          <w:sz w:val="22"/>
        </w:rPr>
      </w:pPr>
      <w:r>
        <w:rPr>
          <w:sz w:val="22"/>
        </w:rPr>
        <w:t>For areas currently in attainment with the state and federal AAQS or areas otherwise designated as unclassifiable, t</w:t>
      </w:r>
      <w:r w:rsidR="00D51D78">
        <w:rPr>
          <w:sz w:val="22"/>
        </w:rPr>
        <w:t xml:space="preserve">he Department regulates major stationary sources of air pollution in accordance with </w:t>
      </w:r>
      <w:smartTag w:uri="urn:schemas-microsoft-com:office:smarttags" w:element="State">
        <w:smartTag w:uri="urn:schemas-microsoft-com:office:smarttags" w:element="place">
          <w:r w:rsidR="00D51D78">
            <w:rPr>
              <w:sz w:val="22"/>
            </w:rPr>
            <w:t>Florida</w:t>
          </w:r>
        </w:smartTag>
      </w:smartTag>
      <w:r w:rsidR="00D51D78">
        <w:rPr>
          <w:sz w:val="22"/>
        </w:rPr>
        <w:t>’s PSD preconstruction review program as defined in Rule 62-212.400, F.A.C.</w:t>
      </w:r>
      <w:r w:rsidR="00BC5729">
        <w:rPr>
          <w:sz w:val="22"/>
        </w:rPr>
        <w:t xml:space="preserve">  Under preconstruction review, the Department first must determine if a project is subject to the PSD requirements (“PSD applicability review”) and, if so, must conduct a PSD preconstruction review.  </w:t>
      </w:r>
      <w:r w:rsidR="00D51D78">
        <w:rPr>
          <w:sz w:val="22"/>
        </w:rPr>
        <w:t xml:space="preserve">A PSD applicability review is required </w:t>
      </w:r>
      <w:r w:rsidR="00BC5729">
        <w:rPr>
          <w:sz w:val="22"/>
        </w:rPr>
        <w:t xml:space="preserve">for projects at new and existing major stationary sources.  </w:t>
      </w:r>
      <w:r>
        <w:rPr>
          <w:sz w:val="22"/>
        </w:rPr>
        <w:t>In addition,</w:t>
      </w:r>
      <w:r w:rsidRPr="00362B27">
        <w:rPr>
          <w:sz w:val="22"/>
        </w:rPr>
        <w:t xml:space="preserve"> proposed projects </w:t>
      </w:r>
      <w:r>
        <w:rPr>
          <w:sz w:val="22"/>
        </w:rPr>
        <w:t xml:space="preserve">at existing minor sources are subject to a PSD applicability review to determine whether potential emissions </w:t>
      </w:r>
      <w:r w:rsidRPr="00362B27">
        <w:rPr>
          <w:i/>
          <w:sz w:val="22"/>
        </w:rPr>
        <w:t xml:space="preserve">from </w:t>
      </w:r>
      <w:r>
        <w:rPr>
          <w:i/>
          <w:sz w:val="22"/>
        </w:rPr>
        <w:t xml:space="preserve">the </w:t>
      </w:r>
      <w:r w:rsidRPr="003858DE">
        <w:rPr>
          <w:i/>
          <w:sz w:val="22"/>
        </w:rPr>
        <w:t>proposed projec</w:t>
      </w:r>
      <w:r>
        <w:rPr>
          <w:i/>
          <w:sz w:val="22"/>
        </w:rPr>
        <w:t>t itself</w:t>
      </w:r>
      <w:r w:rsidRPr="00362B27">
        <w:rPr>
          <w:sz w:val="22"/>
        </w:rPr>
        <w:t xml:space="preserve"> </w:t>
      </w:r>
      <w:r>
        <w:rPr>
          <w:sz w:val="22"/>
        </w:rPr>
        <w:t xml:space="preserve">will exceed the PSD major stationary source thresholds.  </w:t>
      </w:r>
      <w:r w:rsidR="00D51D78">
        <w:rPr>
          <w:sz w:val="22"/>
        </w:rPr>
        <w:t>A facility is considered a major stationary source with respect to PSD if it emits or has the potential to emit:</w:t>
      </w:r>
    </w:p>
    <w:p w:rsidR="004D1D9F" w:rsidRDefault="002A28C2" w:rsidP="00095095">
      <w:pPr>
        <w:pStyle w:val="BodyText"/>
        <w:widowControl w:val="0"/>
        <w:numPr>
          <w:ilvl w:val="0"/>
          <w:numId w:val="5"/>
        </w:numPr>
        <w:rPr>
          <w:sz w:val="22"/>
        </w:rPr>
      </w:pPr>
      <w:r>
        <w:rPr>
          <w:sz w:val="22"/>
        </w:rPr>
        <w:t>5 tons per year or more of lead;</w:t>
      </w:r>
    </w:p>
    <w:p w:rsidR="004D1D9F" w:rsidRDefault="00D51D78" w:rsidP="00095095">
      <w:pPr>
        <w:pStyle w:val="BodyText"/>
        <w:widowControl w:val="0"/>
        <w:numPr>
          <w:ilvl w:val="0"/>
          <w:numId w:val="5"/>
        </w:numPr>
        <w:rPr>
          <w:sz w:val="22"/>
        </w:rPr>
      </w:pPr>
      <w:r>
        <w:rPr>
          <w:sz w:val="22"/>
        </w:rPr>
        <w:lastRenderedPageBreak/>
        <w:t>250 tons per year or more</w:t>
      </w:r>
      <w:r w:rsidR="004414F2">
        <w:rPr>
          <w:sz w:val="22"/>
        </w:rPr>
        <w:t xml:space="preserve"> of any regulated air pollutant;</w:t>
      </w:r>
      <w:r>
        <w:rPr>
          <w:sz w:val="22"/>
        </w:rPr>
        <w:t xml:space="preserve"> </w:t>
      </w:r>
      <w:r w:rsidR="002A28C2">
        <w:rPr>
          <w:sz w:val="22"/>
        </w:rPr>
        <w:t>or</w:t>
      </w:r>
    </w:p>
    <w:p w:rsidR="004D1D9F" w:rsidRPr="006206B7" w:rsidRDefault="00D51D78" w:rsidP="00095095">
      <w:pPr>
        <w:pStyle w:val="BodyText"/>
        <w:widowControl w:val="0"/>
        <w:numPr>
          <w:ilvl w:val="0"/>
          <w:numId w:val="5"/>
        </w:numPr>
        <w:rPr>
          <w:sz w:val="22"/>
        </w:rPr>
      </w:pPr>
      <w:r w:rsidRPr="006206B7">
        <w:rPr>
          <w:sz w:val="22"/>
        </w:rPr>
        <w:t>100 tons per year or more of any regulated air pollutant and the facili</w:t>
      </w:r>
      <w:r w:rsidR="00A938D5" w:rsidRPr="006206B7">
        <w:rPr>
          <w:sz w:val="22"/>
        </w:rPr>
        <w:t xml:space="preserve">ty belongs to one of the </w:t>
      </w:r>
      <w:r w:rsidR="004D1D9F" w:rsidRPr="006206B7">
        <w:rPr>
          <w:sz w:val="22"/>
        </w:rPr>
        <w:t xml:space="preserve">following </w:t>
      </w:r>
      <w:r w:rsidR="00A938D5" w:rsidRPr="006206B7">
        <w:rPr>
          <w:sz w:val="22"/>
        </w:rPr>
        <w:t>28 PSD-</w:t>
      </w:r>
      <w:r w:rsidRPr="006206B7">
        <w:rPr>
          <w:sz w:val="22"/>
        </w:rPr>
        <w:t>major facility categories</w:t>
      </w:r>
      <w:r w:rsidR="004D1D9F" w:rsidRPr="006206B7">
        <w:rPr>
          <w:sz w:val="22"/>
        </w:rPr>
        <w:t xml:space="preserve">:  </w:t>
      </w:r>
      <w:r w:rsidR="002A28C2" w:rsidRPr="006206B7">
        <w:rPr>
          <w:sz w:val="22"/>
          <w:szCs w:val="22"/>
        </w:rPr>
        <w:t xml:space="preserve">fossil fuel-fired steam electric plants of more than 250 million British thermal units per hour heat input, coal cleaning plants (with thermal dryers), </w:t>
      </w:r>
      <w:r w:rsidR="002F0E6E" w:rsidRPr="006206B7">
        <w:rPr>
          <w:sz w:val="22"/>
          <w:szCs w:val="22"/>
        </w:rPr>
        <w:t>Kraft</w:t>
      </w:r>
      <w:r w:rsidR="002A28C2" w:rsidRPr="006206B7">
        <w:rPr>
          <w:sz w:val="22"/>
          <w:szCs w:val="22"/>
        </w:rPr>
        <w:t xml:space="preserve"> pulp mills, portland cement plants, primary zinc smelters, iron and steel mill plants, primary aluminum ore reduction plants, primary copper smelters, municipal incinerators capable of charging more than 250 tons of refuse per day, hydrofluoric, sulfuric, and nitric acid plants, petroleum refineries, lime plants, phosphate rock processing plants, coke oven batteries, sulfur recovery plants, carbon black plants (furnace process), primary lead smelters, fuel conversion</w:t>
      </w:r>
      <w:r w:rsidR="006206B7">
        <w:rPr>
          <w:sz w:val="22"/>
          <w:szCs w:val="22"/>
        </w:rPr>
        <w:t xml:space="preserve"> </w:t>
      </w:r>
      <w:r w:rsidR="002A28C2" w:rsidRPr="006206B7">
        <w:rPr>
          <w:sz w:val="22"/>
          <w:szCs w:val="22"/>
        </w:rPr>
        <w:t>plants, sintering plants, secondary metal production plants, chemical process plants, fossil fuel boilers (or combinations thereof) totaling more than 250 million British thermal units per hour heat input, petroleum storage and transfer units with a total storage capacity exceeding 300,000 barrels, taconite ore processing plants, glass fiber processing plants and charcoal production plants.</w:t>
      </w:r>
    </w:p>
    <w:p w:rsidR="00686486" w:rsidRPr="00686486" w:rsidRDefault="004D1D9F" w:rsidP="00095095">
      <w:pPr>
        <w:pStyle w:val="BodyText"/>
        <w:rPr>
          <w:sz w:val="22"/>
          <w:szCs w:val="22"/>
        </w:rPr>
      </w:pPr>
      <w:r w:rsidRPr="00686486">
        <w:rPr>
          <w:sz w:val="22"/>
          <w:szCs w:val="22"/>
        </w:rPr>
        <w:t>Once it is determined that a project is subject to PSD preconstruction review, the project emissions are compared to the “significant emission rates” defined in Rule 62-210.200, F.A.C. for the following pollutants:  carbon monoxide (CO); nitrogen oxides (NO</w:t>
      </w:r>
      <w:r w:rsidRPr="00686486">
        <w:rPr>
          <w:sz w:val="22"/>
          <w:szCs w:val="22"/>
          <w:vertAlign w:val="subscript"/>
        </w:rPr>
        <w:t>X</w:t>
      </w:r>
      <w:r w:rsidRPr="00686486">
        <w:rPr>
          <w:sz w:val="22"/>
          <w:szCs w:val="22"/>
        </w:rPr>
        <w:t>); sulfur dioxide (SO</w:t>
      </w:r>
      <w:r w:rsidRPr="00686486">
        <w:rPr>
          <w:sz w:val="22"/>
          <w:szCs w:val="22"/>
          <w:vertAlign w:val="subscript"/>
        </w:rPr>
        <w:t>2</w:t>
      </w:r>
      <w:r w:rsidRPr="00686486">
        <w:rPr>
          <w:sz w:val="22"/>
          <w:szCs w:val="22"/>
        </w:rPr>
        <w:t>); particulate matter (PM); particulate matter with a mean particle diameter of 10 microns or less (PM</w:t>
      </w:r>
      <w:r w:rsidRPr="00686486">
        <w:rPr>
          <w:sz w:val="22"/>
          <w:szCs w:val="22"/>
          <w:vertAlign w:val="subscript"/>
        </w:rPr>
        <w:t>10</w:t>
      </w:r>
      <w:r w:rsidRPr="00686486">
        <w:rPr>
          <w:sz w:val="22"/>
          <w:szCs w:val="22"/>
        </w:rPr>
        <w:t>); volatile organ</w:t>
      </w:r>
      <w:r w:rsidR="001D1649">
        <w:rPr>
          <w:sz w:val="22"/>
          <w:szCs w:val="22"/>
        </w:rPr>
        <w:t>ic compounds (VOC); lead (Pb); f</w:t>
      </w:r>
      <w:r w:rsidRPr="00686486">
        <w:rPr>
          <w:sz w:val="22"/>
          <w:szCs w:val="22"/>
        </w:rPr>
        <w:t>luorides (F); sulfuric acid mist (SAM); hydrogen sulfide (H</w:t>
      </w:r>
      <w:r w:rsidRPr="00686486">
        <w:rPr>
          <w:sz w:val="22"/>
          <w:szCs w:val="22"/>
          <w:vertAlign w:val="subscript"/>
        </w:rPr>
        <w:t>2</w:t>
      </w:r>
      <w:r w:rsidRPr="00686486">
        <w:rPr>
          <w:sz w:val="22"/>
          <w:szCs w:val="22"/>
        </w:rPr>
        <w:t>S); total reduced sulfur (TRS), including H</w:t>
      </w:r>
      <w:r w:rsidRPr="00686486">
        <w:rPr>
          <w:sz w:val="22"/>
          <w:szCs w:val="22"/>
          <w:vertAlign w:val="subscript"/>
        </w:rPr>
        <w:t>2</w:t>
      </w:r>
      <w:r w:rsidRPr="00686486">
        <w:rPr>
          <w:sz w:val="22"/>
          <w:szCs w:val="22"/>
        </w:rPr>
        <w:t>S; reduced sulfur compounds, including H</w:t>
      </w:r>
      <w:r w:rsidRPr="00686486">
        <w:rPr>
          <w:sz w:val="22"/>
          <w:szCs w:val="22"/>
          <w:vertAlign w:val="subscript"/>
        </w:rPr>
        <w:t>2</w:t>
      </w:r>
      <w:r w:rsidRPr="00686486">
        <w:rPr>
          <w:sz w:val="22"/>
          <w:szCs w:val="22"/>
        </w:rPr>
        <w:t>S; municipal waste combustor organics measured as total tetra- through octa-chlorinated dibenzo-p-dioxins and dibenzofurans; municipal waste combustor metals measured as particulate matter; municipal waste combustor acid gases measured as SO</w:t>
      </w:r>
      <w:r w:rsidRPr="00686486">
        <w:rPr>
          <w:sz w:val="22"/>
          <w:szCs w:val="22"/>
          <w:vertAlign w:val="subscript"/>
        </w:rPr>
        <w:t>2</w:t>
      </w:r>
      <w:r w:rsidRPr="00686486">
        <w:rPr>
          <w:sz w:val="22"/>
          <w:szCs w:val="22"/>
        </w:rPr>
        <w:t xml:space="preserve"> and hydrogen chloride (HCl); municipal solid waste landfills emissions measured as non</w:t>
      </w:r>
      <w:r w:rsidR="00446FE7" w:rsidRPr="00686486">
        <w:rPr>
          <w:sz w:val="22"/>
          <w:szCs w:val="22"/>
        </w:rPr>
        <w:t>-</w:t>
      </w:r>
      <w:r w:rsidRPr="00686486">
        <w:rPr>
          <w:sz w:val="22"/>
          <w:szCs w:val="22"/>
        </w:rPr>
        <w:t xml:space="preserve">methane organic compounds (NMOC); and mercury (Hg).  </w:t>
      </w:r>
      <w:r w:rsidR="00686486" w:rsidRPr="00686486">
        <w:rPr>
          <w:sz w:val="22"/>
          <w:szCs w:val="22"/>
        </w:rPr>
        <w:t>In addition, significant emissions rate also means any emissions rate or any net emissions increase associated with a major stationary source or major modification which would construct within 10 kilometers of a Class I area and have an impact on such area equal to or greater than 1 μg/m</w:t>
      </w:r>
      <w:r w:rsidR="00686486" w:rsidRPr="00686486">
        <w:rPr>
          <w:sz w:val="22"/>
          <w:szCs w:val="22"/>
          <w:vertAlign w:val="superscript"/>
        </w:rPr>
        <w:t>3</w:t>
      </w:r>
      <w:r w:rsidR="00686486" w:rsidRPr="00686486">
        <w:rPr>
          <w:sz w:val="22"/>
          <w:szCs w:val="22"/>
        </w:rPr>
        <w:t>, 24-hour average.</w:t>
      </w:r>
    </w:p>
    <w:p w:rsidR="004D1D9F" w:rsidRDefault="00686486" w:rsidP="00095095">
      <w:pPr>
        <w:pStyle w:val="BodyText"/>
        <w:rPr>
          <w:sz w:val="22"/>
        </w:rPr>
      </w:pPr>
      <w:r>
        <w:rPr>
          <w:sz w:val="22"/>
        </w:rPr>
        <w:t xml:space="preserve">If the potential emission </w:t>
      </w:r>
      <w:r w:rsidR="004D1D9F">
        <w:rPr>
          <w:sz w:val="22"/>
        </w:rPr>
        <w:t>exceed</w:t>
      </w:r>
      <w:r>
        <w:rPr>
          <w:sz w:val="22"/>
        </w:rPr>
        <w:t>s</w:t>
      </w:r>
      <w:r w:rsidR="004D1D9F">
        <w:rPr>
          <w:sz w:val="22"/>
        </w:rPr>
        <w:t xml:space="preserve"> the</w:t>
      </w:r>
      <w:r w:rsidRPr="00686486">
        <w:rPr>
          <w:sz w:val="22"/>
          <w:szCs w:val="22"/>
        </w:rPr>
        <w:t xml:space="preserve"> </w:t>
      </w:r>
      <w:r>
        <w:rPr>
          <w:sz w:val="22"/>
          <w:szCs w:val="22"/>
        </w:rPr>
        <w:t xml:space="preserve">defined </w:t>
      </w:r>
      <w:r w:rsidRPr="00686486">
        <w:rPr>
          <w:sz w:val="22"/>
          <w:szCs w:val="22"/>
        </w:rPr>
        <w:t>significant emissions rate</w:t>
      </w:r>
      <w:r w:rsidR="00DA4D8D" w:rsidRPr="00DA4D8D">
        <w:rPr>
          <w:sz w:val="22"/>
        </w:rPr>
        <w:t xml:space="preserve"> </w:t>
      </w:r>
      <w:r w:rsidR="00DA4D8D">
        <w:rPr>
          <w:sz w:val="22"/>
        </w:rPr>
        <w:t>of a PSD pollutant</w:t>
      </w:r>
      <w:r>
        <w:rPr>
          <w:sz w:val="22"/>
          <w:szCs w:val="22"/>
        </w:rPr>
        <w:t xml:space="preserve">, the project is </w:t>
      </w:r>
      <w:r w:rsidR="004D1D9F">
        <w:rPr>
          <w:sz w:val="22"/>
        </w:rPr>
        <w:t xml:space="preserve">considered “significant” </w:t>
      </w:r>
      <w:r>
        <w:rPr>
          <w:sz w:val="22"/>
        </w:rPr>
        <w:t xml:space="preserve">for the pollutant </w:t>
      </w:r>
      <w:r w:rsidR="004D1D9F">
        <w:rPr>
          <w:sz w:val="22"/>
        </w:rPr>
        <w:t xml:space="preserve">and the applicant must employ the Best Available Control Technology (BACT) to minimize </w:t>
      </w:r>
      <w:r>
        <w:rPr>
          <w:sz w:val="22"/>
        </w:rPr>
        <w:t xml:space="preserve">the </w:t>
      </w:r>
      <w:r w:rsidR="004D1D9F">
        <w:rPr>
          <w:sz w:val="22"/>
        </w:rPr>
        <w:t xml:space="preserve">emissions and evaluate the air quality impacts.  Although a facility or project may be </w:t>
      </w:r>
      <w:r w:rsidR="004D1D9F" w:rsidRPr="00E84B3B">
        <w:rPr>
          <w:i/>
          <w:sz w:val="22"/>
        </w:rPr>
        <w:t>major</w:t>
      </w:r>
      <w:r w:rsidR="004D1D9F">
        <w:rPr>
          <w:sz w:val="22"/>
        </w:rPr>
        <w:t xml:space="preserve"> with respect to PSD for only one regulated pollutant, it may be required to install BACT controls for several “significant” regulated pollutants.</w:t>
      </w:r>
    </w:p>
    <w:p w:rsidR="00193F10" w:rsidRPr="00193F10" w:rsidRDefault="00193F10" w:rsidP="00095095">
      <w:pPr>
        <w:pStyle w:val="BodyText"/>
        <w:widowControl w:val="0"/>
        <w:ind w:left="360" w:hanging="360"/>
        <w:jc w:val="both"/>
        <w:rPr>
          <w:b/>
          <w:sz w:val="22"/>
        </w:rPr>
      </w:pPr>
      <w:r w:rsidRPr="00193F10">
        <w:rPr>
          <w:b/>
          <w:sz w:val="22"/>
        </w:rPr>
        <w:t>PSD Applicability for Project</w:t>
      </w:r>
    </w:p>
    <w:p w:rsidR="00AB3C3C" w:rsidRPr="002026D0" w:rsidRDefault="00AB3C3C" w:rsidP="00095095">
      <w:pPr>
        <w:pStyle w:val="BodyText2"/>
        <w:widowControl w:val="0"/>
        <w:jc w:val="left"/>
        <w:rPr>
          <w:szCs w:val="22"/>
        </w:rPr>
      </w:pPr>
      <w:r w:rsidRPr="002026D0">
        <w:rPr>
          <w:szCs w:val="22"/>
        </w:rPr>
        <w:t xml:space="preserve">The proposed project, </w:t>
      </w:r>
      <w:r>
        <w:rPr>
          <w:szCs w:val="22"/>
        </w:rPr>
        <w:t xml:space="preserve">construction of </w:t>
      </w:r>
      <w:r w:rsidR="0088353C">
        <w:rPr>
          <w:szCs w:val="22"/>
        </w:rPr>
        <w:t>a supplemental material handling conveyor</w:t>
      </w:r>
      <w:r w:rsidRPr="002026D0">
        <w:rPr>
          <w:szCs w:val="22"/>
        </w:rPr>
        <w:t xml:space="preserve">, is a minor </w:t>
      </w:r>
      <w:r>
        <w:rPr>
          <w:szCs w:val="22"/>
        </w:rPr>
        <w:t xml:space="preserve">modification </w:t>
      </w:r>
      <w:r w:rsidRPr="002026D0">
        <w:rPr>
          <w:szCs w:val="22"/>
        </w:rPr>
        <w:t xml:space="preserve">to the </w:t>
      </w:r>
      <w:r w:rsidR="00035F33">
        <w:rPr>
          <w:szCs w:val="22"/>
        </w:rPr>
        <w:t>Big Bend Station</w:t>
      </w:r>
      <w:r w:rsidRPr="002026D0">
        <w:rPr>
          <w:szCs w:val="22"/>
        </w:rPr>
        <w:t xml:space="preserve">.  This project will not increase </w:t>
      </w:r>
      <w:r w:rsidR="00D07098">
        <w:rPr>
          <w:szCs w:val="22"/>
        </w:rPr>
        <w:t>particulate matter (</w:t>
      </w:r>
      <w:r>
        <w:rPr>
          <w:szCs w:val="22"/>
        </w:rPr>
        <w:t>PM/PM</w:t>
      </w:r>
      <w:r w:rsidRPr="00D07098">
        <w:rPr>
          <w:szCs w:val="22"/>
          <w:vertAlign w:val="subscript"/>
        </w:rPr>
        <w:t>10</w:t>
      </w:r>
      <w:r>
        <w:rPr>
          <w:szCs w:val="22"/>
        </w:rPr>
        <w:t>/PM</w:t>
      </w:r>
      <w:r w:rsidRPr="00D07098">
        <w:rPr>
          <w:szCs w:val="22"/>
          <w:vertAlign w:val="subscript"/>
        </w:rPr>
        <w:t>2.5</w:t>
      </w:r>
      <w:r w:rsidR="00D07098">
        <w:rPr>
          <w:szCs w:val="22"/>
        </w:rPr>
        <w:t>)</w:t>
      </w:r>
      <w:r>
        <w:rPr>
          <w:szCs w:val="22"/>
        </w:rPr>
        <w:t xml:space="preserve"> above the significant emissions </w:t>
      </w:r>
      <w:r w:rsidR="007B65FD">
        <w:rPr>
          <w:szCs w:val="22"/>
        </w:rPr>
        <w:t xml:space="preserve">rate (SER) </w:t>
      </w:r>
      <w:r>
        <w:rPr>
          <w:szCs w:val="22"/>
        </w:rPr>
        <w:t>threshold</w:t>
      </w:r>
      <w:r w:rsidRPr="002026D0">
        <w:rPr>
          <w:szCs w:val="22"/>
        </w:rPr>
        <w:t>; therefore</w:t>
      </w:r>
      <w:r w:rsidR="00035F33">
        <w:rPr>
          <w:szCs w:val="22"/>
        </w:rPr>
        <w:t>,</w:t>
      </w:r>
      <w:r w:rsidRPr="002026D0">
        <w:rPr>
          <w:szCs w:val="22"/>
        </w:rPr>
        <w:t xml:space="preserve"> </w:t>
      </w:r>
      <w:r w:rsidR="004A70B1">
        <w:rPr>
          <w:szCs w:val="22"/>
        </w:rPr>
        <w:t xml:space="preserve">this project </w:t>
      </w:r>
      <w:r w:rsidRPr="002026D0">
        <w:rPr>
          <w:szCs w:val="22"/>
        </w:rPr>
        <w:t>is not subject to PSD construction review.  Consequently, no air modeling was submitted and a BACT determination</w:t>
      </w:r>
      <w:r>
        <w:rPr>
          <w:szCs w:val="22"/>
        </w:rPr>
        <w:t xml:space="preserve"> was</w:t>
      </w:r>
      <w:r w:rsidRPr="002026D0">
        <w:rPr>
          <w:szCs w:val="22"/>
        </w:rPr>
        <w:t xml:space="preserve"> not required.</w:t>
      </w:r>
    </w:p>
    <w:p w:rsidR="000A2F4F" w:rsidRPr="009D101A" w:rsidRDefault="009D101A" w:rsidP="00095095">
      <w:pPr>
        <w:pStyle w:val="BodyText"/>
        <w:widowControl w:val="0"/>
        <w:rPr>
          <w:b/>
          <w:sz w:val="22"/>
          <w:szCs w:val="22"/>
        </w:rPr>
      </w:pPr>
      <w:r w:rsidRPr="009D101A">
        <w:rPr>
          <w:b/>
          <w:sz w:val="22"/>
          <w:szCs w:val="22"/>
        </w:rPr>
        <w:t xml:space="preserve">3.  </w:t>
      </w:r>
      <w:r w:rsidR="00FE372A">
        <w:rPr>
          <w:b/>
          <w:sz w:val="22"/>
          <w:szCs w:val="22"/>
        </w:rPr>
        <w:t xml:space="preserve">DEPARTMENT </w:t>
      </w:r>
      <w:r w:rsidR="00C92DF1">
        <w:rPr>
          <w:b/>
          <w:sz w:val="22"/>
          <w:szCs w:val="22"/>
        </w:rPr>
        <w:t xml:space="preserve">PROJECT </w:t>
      </w:r>
      <w:r w:rsidRPr="009D101A">
        <w:rPr>
          <w:b/>
          <w:sz w:val="22"/>
          <w:szCs w:val="22"/>
        </w:rPr>
        <w:t>REVIEW</w:t>
      </w:r>
    </w:p>
    <w:p w:rsidR="00C92391" w:rsidRDefault="00AB3C3C" w:rsidP="00095095">
      <w:pPr>
        <w:spacing w:after="120"/>
        <w:rPr>
          <w:sz w:val="22"/>
          <w:szCs w:val="22"/>
        </w:rPr>
      </w:pPr>
      <w:r>
        <w:rPr>
          <w:rFonts w:ascii="MIonic" w:hAnsi="MIonic"/>
          <w:sz w:val="22"/>
          <w:szCs w:val="22"/>
        </w:rPr>
        <w:t xml:space="preserve">The fugitive particulate emissions from the proposed </w:t>
      </w:r>
      <w:r w:rsidR="0088353C">
        <w:rPr>
          <w:rFonts w:ascii="MIonic" w:hAnsi="MIonic"/>
          <w:sz w:val="22"/>
          <w:szCs w:val="22"/>
        </w:rPr>
        <w:t>s</w:t>
      </w:r>
      <w:r w:rsidR="0088353C" w:rsidRPr="0088353C">
        <w:rPr>
          <w:rFonts w:ascii="MIonic" w:hAnsi="MIonic"/>
          <w:sz w:val="22"/>
          <w:szCs w:val="22"/>
        </w:rPr>
        <w:t xml:space="preserve">upplemental </w:t>
      </w:r>
      <w:r w:rsidR="0088353C">
        <w:rPr>
          <w:rFonts w:ascii="MIonic" w:hAnsi="MIonic"/>
          <w:sz w:val="22"/>
          <w:szCs w:val="22"/>
        </w:rPr>
        <w:t>m</w:t>
      </w:r>
      <w:r w:rsidR="0088353C" w:rsidRPr="0088353C">
        <w:rPr>
          <w:rFonts w:ascii="MIonic" w:hAnsi="MIonic"/>
          <w:sz w:val="22"/>
          <w:szCs w:val="22"/>
        </w:rPr>
        <w:t xml:space="preserve">aterial </w:t>
      </w:r>
      <w:r w:rsidR="0088353C">
        <w:rPr>
          <w:rFonts w:ascii="MIonic" w:hAnsi="MIonic"/>
          <w:sz w:val="22"/>
          <w:szCs w:val="22"/>
        </w:rPr>
        <w:t>h</w:t>
      </w:r>
      <w:r w:rsidR="0088353C" w:rsidRPr="0088353C">
        <w:rPr>
          <w:rFonts w:ascii="MIonic" w:hAnsi="MIonic"/>
          <w:sz w:val="22"/>
          <w:szCs w:val="22"/>
        </w:rPr>
        <w:t xml:space="preserve">andling </w:t>
      </w:r>
      <w:r w:rsidR="0088353C">
        <w:rPr>
          <w:rFonts w:ascii="MIonic" w:hAnsi="MIonic"/>
          <w:sz w:val="22"/>
          <w:szCs w:val="22"/>
        </w:rPr>
        <w:t>c</w:t>
      </w:r>
      <w:r w:rsidR="0088353C" w:rsidRPr="0088353C">
        <w:rPr>
          <w:rFonts w:ascii="MIonic" w:hAnsi="MIonic"/>
          <w:sz w:val="22"/>
          <w:szCs w:val="22"/>
        </w:rPr>
        <w:t>onveyor</w:t>
      </w:r>
      <w:r w:rsidR="0088353C">
        <w:rPr>
          <w:rFonts w:ascii="MIonic" w:hAnsi="MIonic"/>
          <w:sz w:val="22"/>
          <w:szCs w:val="22"/>
        </w:rPr>
        <w:t xml:space="preserve"> </w:t>
      </w:r>
      <w:r>
        <w:rPr>
          <w:rFonts w:ascii="MIonic" w:hAnsi="MIonic"/>
          <w:sz w:val="22"/>
          <w:szCs w:val="22"/>
        </w:rPr>
        <w:t>system are less than 5 ton</w:t>
      </w:r>
      <w:r w:rsidR="00041E01">
        <w:rPr>
          <w:rFonts w:ascii="MIonic" w:hAnsi="MIonic"/>
          <w:sz w:val="22"/>
          <w:szCs w:val="22"/>
        </w:rPr>
        <w:t>s</w:t>
      </w:r>
      <w:r>
        <w:rPr>
          <w:rFonts w:ascii="MIonic" w:hAnsi="MIonic"/>
          <w:sz w:val="22"/>
          <w:szCs w:val="22"/>
        </w:rPr>
        <w:t xml:space="preserve"> per year</w:t>
      </w:r>
      <w:r w:rsidR="00C92391">
        <w:rPr>
          <w:rFonts w:ascii="MIonic" w:hAnsi="MIonic"/>
          <w:sz w:val="22"/>
          <w:szCs w:val="22"/>
        </w:rPr>
        <w:t>.</w:t>
      </w:r>
      <w:r w:rsidRPr="006364C1">
        <w:rPr>
          <w:sz w:val="22"/>
          <w:szCs w:val="22"/>
        </w:rPr>
        <w:t xml:space="preserve"> </w:t>
      </w:r>
      <w:r w:rsidR="00C92391">
        <w:rPr>
          <w:sz w:val="22"/>
          <w:szCs w:val="22"/>
        </w:rPr>
        <w:t xml:space="preserve"> The proposed conveyors will be enclosed and covered to minimize fugitive emissions during conveyance.  T</w:t>
      </w:r>
      <w:r w:rsidR="00436455">
        <w:rPr>
          <w:sz w:val="22"/>
          <w:szCs w:val="22"/>
        </w:rPr>
        <w:t>ECO indicated that t</w:t>
      </w:r>
      <w:r w:rsidR="00C92391">
        <w:rPr>
          <w:sz w:val="22"/>
          <w:szCs w:val="22"/>
        </w:rPr>
        <w:t xml:space="preserve">he system will not contain a dust suppression system.  However, best management practices such as water spray (manually) </w:t>
      </w:r>
      <w:r w:rsidR="0080308A">
        <w:rPr>
          <w:sz w:val="22"/>
          <w:szCs w:val="22"/>
        </w:rPr>
        <w:t xml:space="preserve">are proposed to </w:t>
      </w:r>
      <w:r w:rsidR="00C92391">
        <w:rPr>
          <w:sz w:val="22"/>
          <w:szCs w:val="22"/>
        </w:rPr>
        <w:t xml:space="preserve">be used to suppress </w:t>
      </w:r>
      <w:r w:rsidR="00D06DA3">
        <w:rPr>
          <w:sz w:val="22"/>
          <w:szCs w:val="22"/>
        </w:rPr>
        <w:t xml:space="preserve">unconfined </w:t>
      </w:r>
      <w:r w:rsidR="00C92391">
        <w:rPr>
          <w:sz w:val="22"/>
          <w:szCs w:val="22"/>
        </w:rPr>
        <w:t>fugitive emission</w:t>
      </w:r>
      <w:r w:rsidR="00035F33">
        <w:rPr>
          <w:sz w:val="22"/>
          <w:szCs w:val="22"/>
        </w:rPr>
        <w:t>s</w:t>
      </w:r>
      <w:r w:rsidR="00C92391">
        <w:rPr>
          <w:sz w:val="22"/>
          <w:szCs w:val="22"/>
        </w:rPr>
        <w:t xml:space="preserve"> during bulldozer operations and grizzly hopper loading.    </w:t>
      </w:r>
    </w:p>
    <w:p w:rsidR="00AB3C3C" w:rsidRDefault="000E1087" w:rsidP="00095095">
      <w:pPr>
        <w:widowControl w:val="0"/>
        <w:spacing w:after="120"/>
        <w:jc w:val="both"/>
        <w:rPr>
          <w:sz w:val="22"/>
          <w:szCs w:val="22"/>
        </w:rPr>
      </w:pPr>
      <w:r w:rsidRPr="000E1087">
        <w:rPr>
          <w:sz w:val="22"/>
          <w:szCs w:val="22"/>
        </w:rPr>
        <w:t>The</w:t>
      </w:r>
      <w:r w:rsidR="00AB3C3C" w:rsidRPr="000E1087">
        <w:rPr>
          <w:sz w:val="22"/>
          <w:szCs w:val="22"/>
        </w:rPr>
        <w:t xml:space="preserve"> additional </w:t>
      </w:r>
      <w:r w:rsidR="00041E01">
        <w:rPr>
          <w:sz w:val="22"/>
          <w:szCs w:val="22"/>
        </w:rPr>
        <w:t>supplemental material</w:t>
      </w:r>
      <w:r w:rsidR="00D07098" w:rsidRPr="000E1087">
        <w:rPr>
          <w:sz w:val="22"/>
          <w:szCs w:val="22"/>
        </w:rPr>
        <w:t xml:space="preserve"> conveyance system </w:t>
      </w:r>
      <w:r w:rsidR="00B57B89">
        <w:rPr>
          <w:sz w:val="22"/>
          <w:szCs w:val="22"/>
        </w:rPr>
        <w:t xml:space="preserve">(EU 048) </w:t>
      </w:r>
      <w:r w:rsidR="0056050F">
        <w:rPr>
          <w:sz w:val="22"/>
          <w:szCs w:val="22"/>
        </w:rPr>
        <w:t>could potentially</w:t>
      </w:r>
      <w:r w:rsidR="00D07098" w:rsidRPr="000E1087">
        <w:rPr>
          <w:sz w:val="22"/>
          <w:szCs w:val="22"/>
        </w:rPr>
        <w:t xml:space="preserve"> </w:t>
      </w:r>
      <w:r w:rsidR="00AB3C3C" w:rsidRPr="000E1087">
        <w:rPr>
          <w:sz w:val="22"/>
          <w:szCs w:val="22"/>
        </w:rPr>
        <w:t>increase emissions as follows</w:t>
      </w:r>
      <w:r w:rsidR="00B57B89">
        <w:rPr>
          <w:sz w:val="22"/>
          <w:szCs w:val="22"/>
        </w:rPr>
        <w:t>:</w:t>
      </w:r>
    </w:p>
    <w:p w:rsidR="00DA23DE" w:rsidRDefault="00DA23DE">
      <w:pPr>
        <w:rPr>
          <w:sz w:val="22"/>
          <w:szCs w:val="22"/>
        </w:rPr>
      </w:pPr>
      <w:r>
        <w:rPr>
          <w:sz w:val="22"/>
          <w:szCs w:val="22"/>
        </w:rPr>
        <w:br w:type="page"/>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10"/>
        <w:gridCol w:w="1260"/>
        <w:gridCol w:w="1260"/>
        <w:gridCol w:w="1282"/>
        <w:gridCol w:w="1868"/>
      </w:tblGrid>
      <w:tr w:rsidR="00466ACE" w:rsidRPr="00320491" w:rsidTr="00DA23DE">
        <w:tc>
          <w:tcPr>
            <w:tcW w:w="4410" w:type="dxa"/>
            <w:vMerge w:val="restart"/>
          </w:tcPr>
          <w:p w:rsidR="00466ACE" w:rsidRPr="00320491" w:rsidRDefault="00466ACE" w:rsidP="00095095">
            <w:pPr>
              <w:pStyle w:val="BodyText"/>
              <w:widowControl w:val="0"/>
              <w:spacing w:after="0"/>
              <w:rPr>
                <w:b/>
                <w:sz w:val="22"/>
                <w:szCs w:val="22"/>
              </w:rPr>
            </w:pPr>
          </w:p>
          <w:p w:rsidR="00466ACE" w:rsidRPr="00320491" w:rsidRDefault="00466ACE" w:rsidP="00095095">
            <w:pPr>
              <w:pStyle w:val="BodyText"/>
              <w:widowControl w:val="0"/>
              <w:spacing w:after="0"/>
              <w:rPr>
                <w:b/>
                <w:sz w:val="22"/>
                <w:szCs w:val="22"/>
              </w:rPr>
            </w:pPr>
            <w:r w:rsidRPr="00320491">
              <w:rPr>
                <w:b/>
                <w:sz w:val="22"/>
                <w:szCs w:val="22"/>
              </w:rPr>
              <w:t>Activity/Transfer Operation</w:t>
            </w:r>
          </w:p>
        </w:tc>
        <w:tc>
          <w:tcPr>
            <w:tcW w:w="1260" w:type="dxa"/>
            <w:vMerge w:val="restart"/>
          </w:tcPr>
          <w:p w:rsidR="00466ACE" w:rsidRPr="00320491" w:rsidRDefault="00466ACE" w:rsidP="00095095">
            <w:pPr>
              <w:pStyle w:val="BodyText"/>
              <w:widowControl w:val="0"/>
              <w:spacing w:after="0"/>
              <w:ind w:right="72"/>
              <w:jc w:val="center"/>
              <w:rPr>
                <w:b/>
                <w:sz w:val="22"/>
                <w:szCs w:val="22"/>
              </w:rPr>
            </w:pPr>
          </w:p>
          <w:p w:rsidR="00466ACE" w:rsidRPr="00320491" w:rsidRDefault="00466ACE" w:rsidP="00095095">
            <w:pPr>
              <w:pStyle w:val="BodyText"/>
              <w:widowControl w:val="0"/>
              <w:spacing w:after="0"/>
              <w:ind w:right="72"/>
              <w:jc w:val="center"/>
              <w:rPr>
                <w:b/>
                <w:sz w:val="22"/>
                <w:szCs w:val="22"/>
              </w:rPr>
            </w:pPr>
            <w:r w:rsidRPr="00320491">
              <w:rPr>
                <w:b/>
                <w:sz w:val="22"/>
                <w:szCs w:val="22"/>
              </w:rPr>
              <w:t>E.U</w:t>
            </w:r>
          </w:p>
        </w:tc>
        <w:tc>
          <w:tcPr>
            <w:tcW w:w="4410" w:type="dxa"/>
            <w:gridSpan w:val="3"/>
          </w:tcPr>
          <w:p w:rsidR="00466ACE" w:rsidRPr="00320491" w:rsidRDefault="007B1180" w:rsidP="00095095">
            <w:pPr>
              <w:pStyle w:val="BodyText"/>
              <w:widowControl w:val="0"/>
              <w:spacing w:after="0"/>
              <w:jc w:val="center"/>
              <w:rPr>
                <w:b/>
                <w:sz w:val="22"/>
                <w:szCs w:val="22"/>
              </w:rPr>
            </w:pPr>
            <w:r>
              <w:rPr>
                <w:b/>
                <w:sz w:val="22"/>
                <w:szCs w:val="22"/>
              </w:rPr>
              <w:t xml:space="preserve">Pollutant </w:t>
            </w:r>
            <w:r w:rsidR="00466ACE" w:rsidRPr="00320491">
              <w:rPr>
                <w:b/>
                <w:sz w:val="22"/>
                <w:szCs w:val="22"/>
              </w:rPr>
              <w:t>Emission Rate (TPY)</w:t>
            </w:r>
          </w:p>
        </w:tc>
      </w:tr>
      <w:tr w:rsidR="00466ACE" w:rsidRPr="00320491" w:rsidTr="00DA23DE">
        <w:tc>
          <w:tcPr>
            <w:tcW w:w="4410" w:type="dxa"/>
            <w:vMerge/>
          </w:tcPr>
          <w:p w:rsidR="00466ACE" w:rsidRPr="00320491" w:rsidRDefault="00466ACE" w:rsidP="00095095">
            <w:pPr>
              <w:pStyle w:val="BodyText"/>
              <w:widowControl w:val="0"/>
              <w:spacing w:after="0"/>
              <w:rPr>
                <w:b/>
                <w:sz w:val="22"/>
                <w:szCs w:val="22"/>
              </w:rPr>
            </w:pPr>
          </w:p>
        </w:tc>
        <w:tc>
          <w:tcPr>
            <w:tcW w:w="1260" w:type="dxa"/>
            <w:vMerge/>
          </w:tcPr>
          <w:p w:rsidR="00466ACE" w:rsidRPr="00320491" w:rsidRDefault="00466ACE" w:rsidP="00095095">
            <w:pPr>
              <w:pStyle w:val="BodyText"/>
              <w:widowControl w:val="0"/>
              <w:spacing w:after="0"/>
              <w:ind w:right="72"/>
              <w:rPr>
                <w:b/>
                <w:sz w:val="22"/>
                <w:szCs w:val="22"/>
              </w:rPr>
            </w:pPr>
          </w:p>
        </w:tc>
        <w:tc>
          <w:tcPr>
            <w:tcW w:w="1260" w:type="dxa"/>
          </w:tcPr>
          <w:p w:rsidR="00466ACE" w:rsidRPr="00320491" w:rsidRDefault="00466ACE" w:rsidP="00095095">
            <w:pPr>
              <w:pStyle w:val="BodyText"/>
              <w:widowControl w:val="0"/>
              <w:spacing w:after="0"/>
              <w:jc w:val="center"/>
              <w:rPr>
                <w:b/>
                <w:sz w:val="22"/>
                <w:szCs w:val="22"/>
              </w:rPr>
            </w:pPr>
            <w:r w:rsidRPr="00320491">
              <w:rPr>
                <w:b/>
                <w:sz w:val="22"/>
                <w:szCs w:val="22"/>
              </w:rPr>
              <w:t>PM</w:t>
            </w:r>
          </w:p>
        </w:tc>
        <w:tc>
          <w:tcPr>
            <w:tcW w:w="1282" w:type="dxa"/>
          </w:tcPr>
          <w:p w:rsidR="00466ACE" w:rsidRPr="00320491" w:rsidRDefault="00466ACE" w:rsidP="00095095">
            <w:pPr>
              <w:pStyle w:val="BodyText"/>
              <w:widowControl w:val="0"/>
              <w:spacing w:after="0"/>
              <w:ind w:left="-108"/>
              <w:jc w:val="center"/>
              <w:rPr>
                <w:b/>
                <w:sz w:val="22"/>
                <w:szCs w:val="22"/>
              </w:rPr>
            </w:pPr>
            <w:r w:rsidRPr="00320491">
              <w:rPr>
                <w:b/>
                <w:szCs w:val="22"/>
              </w:rPr>
              <w:t>PM</w:t>
            </w:r>
            <w:r w:rsidRPr="00320491">
              <w:rPr>
                <w:b/>
                <w:szCs w:val="22"/>
                <w:vertAlign w:val="subscript"/>
              </w:rPr>
              <w:t>10</w:t>
            </w:r>
          </w:p>
        </w:tc>
        <w:tc>
          <w:tcPr>
            <w:tcW w:w="1868" w:type="dxa"/>
          </w:tcPr>
          <w:p w:rsidR="00466ACE" w:rsidRPr="00320491" w:rsidRDefault="00466ACE" w:rsidP="00095095">
            <w:pPr>
              <w:pStyle w:val="BodyText"/>
              <w:widowControl w:val="0"/>
              <w:spacing w:after="0"/>
              <w:jc w:val="center"/>
              <w:rPr>
                <w:b/>
                <w:sz w:val="22"/>
                <w:szCs w:val="22"/>
              </w:rPr>
            </w:pPr>
            <w:r w:rsidRPr="00320491">
              <w:rPr>
                <w:b/>
                <w:szCs w:val="22"/>
              </w:rPr>
              <w:t>PM</w:t>
            </w:r>
            <w:r w:rsidRPr="00320491">
              <w:rPr>
                <w:b/>
                <w:szCs w:val="22"/>
                <w:vertAlign w:val="subscript"/>
              </w:rPr>
              <w:t>2.5</w:t>
            </w:r>
          </w:p>
        </w:tc>
      </w:tr>
      <w:tr w:rsidR="002A116D" w:rsidRPr="0056050F" w:rsidTr="00DA23DE">
        <w:tc>
          <w:tcPr>
            <w:tcW w:w="4410" w:type="dxa"/>
          </w:tcPr>
          <w:p w:rsidR="002A116D" w:rsidRPr="0056050F" w:rsidRDefault="002A116D" w:rsidP="00095095">
            <w:pPr>
              <w:pStyle w:val="BodyText"/>
              <w:widowControl w:val="0"/>
              <w:spacing w:after="0"/>
              <w:rPr>
                <w:sz w:val="22"/>
                <w:szCs w:val="22"/>
              </w:rPr>
            </w:pPr>
            <w:r w:rsidRPr="0056050F">
              <w:rPr>
                <w:sz w:val="22"/>
                <w:szCs w:val="22"/>
              </w:rPr>
              <w:t xml:space="preserve">Dozer </w:t>
            </w:r>
            <w:r w:rsidR="00EA6A80" w:rsidRPr="0056050F">
              <w:rPr>
                <w:sz w:val="22"/>
                <w:szCs w:val="22"/>
              </w:rPr>
              <w:t xml:space="preserve">Stock Pile </w:t>
            </w:r>
            <w:r w:rsidRPr="0056050F">
              <w:rPr>
                <w:sz w:val="22"/>
                <w:szCs w:val="22"/>
              </w:rPr>
              <w:t>Operations</w:t>
            </w:r>
            <w:r w:rsidR="0056050F" w:rsidRPr="0056050F">
              <w:rPr>
                <w:sz w:val="22"/>
                <w:szCs w:val="22"/>
              </w:rPr>
              <w:t xml:space="preserve"> (fugitive)</w:t>
            </w:r>
          </w:p>
        </w:tc>
        <w:tc>
          <w:tcPr>
            <w:tcW w:w="1260" w:type="dxa"/>
          </w:tcPr>
          <w:p w:rsidR="002A116D" w:rsidRPr="0056050F" w:rsidRDefault="002A116D" w:rsidP="00095095">
            <w:pPr>
              <w:ind w:right="72"/>
              <w:jc w:val="center"/>
              <w:rPr>
                <w:sz w:val="22"/>
                <w:szCs w:val="22"/>
              </w:rPr>
            </w:pPr>
            <w:r w:rsidRPr="0056050F">
              <w:rPr>
                <w:sz w:val="22"/>
                <w:szCs w:val="22"/>
              </w:rPr>
              <w:t>FH</w:t>
            </w:r>
            <w:r w:rsidRPr="0056050F">
              <w:rPr>
                <w:rFonts w:ascii="Cambria Math" w:hAnsi="Cambria Math"/>
                <w:sz w:val="22"/>
                <w:szCs w:val="22"/>
              </w:rPr>
              <w:t>‐100</w:t>
            </w:r>
          </w:p>
        </w:tc>
        <w:tc>
          <w:tcPr>
            <w:tcW w:w="1260" w:type="dxa"/>
          </w:tcPr>
          <w:p w:rsidR="002A116D" w:rsidRPr="0056050F" w:rsidRDefault="002A116D" w:rsidP="00095095">
            <w:pPr>
              <w:pStyle w:val="BodyText"/>
              <w:widowControl w:val="0"/>
              <w:spacing w:after="0"/>
              <w:jc w:val="center"/>
              <w:rPr>
                <w:sz w:val="22"/>
                <w:szCs w:val="22"/>
              </w:rPr>
            </w:pPr>
            <w:r w:rsidRPr="0056050F">
              <w:rPr>
                <w:sz w:val="22"/>
                <w:szCs w:val="22"/>
              </w:rPr>
              <w:t>0.41</w:t>
            </w:r>
          </w:p>
        </w:tc>
        <w:tc>
          <w:tcPr>
            <w:tcW w:w="1282" w:type="dxa"/>
          </w:tcPr>
          <w:p w:rsidR="002A116D" w:rsidRPr="0056050F" w:rsidRDefault="002A116D" w:rsidP="00095095">
            <w:pPr>
              <w:pStyle w:val="BodyText"/>
              <w:widowControl w:val="0"/>
              <w:spacing w:after="0"/>
              <w:jc w:val="center"/>
              <w:rPr>
                <w:sz w:val="22"/>
                <w:szCs w:val="22"/>
              </w:rPr>
            </w:pPr>
            <w:r w:rsidRPr="0056050F">
              <w:rPr>
                <w:sz w:val="22"/>
                <w:szCs w:val="22"/>
              </w:rPr>
              <w:t>0.094</w:t>
            </w:r>
          </w:p>
        </w:tc>
        <w:tc>
          <w:tcPr>
            <w:tcW w:w="1868" w:type="dxa"/>
          </w:tcPr>
          <w:p w:rsidR="002A116D" w:rsidRPr="0056050F" w:rsidRDefault="002A116D" w:rsidP="00095095">
            <w:pPr>
              <w:pStyle w:val="BodyText"/>
              <w:widowControl w:val="0"/>
              <w:spacing w:after="0"/>
              <w:jc w:val="center"/>
              <w:rPr>
                <w:sz w:val="22"/>
                <w:szCs w:val="22"/>
              </w:rPr>
            </w:pPr>
            <w:r w:rsidRPr="0056050F">
              <w:rPr>
                <w:sz w:val="22"/>
                <w:szCs w:val="22"/>
              </w:rPr>
              <w:t>0.0094</w:t>
            </w:r>
          </w:p>
        </w:tc>
      </w:tr>
      <w:tr w:rsidR="002A116D" w:rsidRPr="0056050F" w:rsidTr="00DA23DE">
        <w:tc>
          <w:tcPr>
            <w:tcW w:w="4410" w:type="dxa"/>
          </w:tcPr>
          <w:p w:rsidR="002A116D" w:rsidRPr="0056050F" w:rsidRDefault="002A116D" w:rsidP="00095095">
            <w:pPr>
              <w:pStyle w:val="BodyText"/>
              <w:widowControl w:val="0"/>
              <w:spacing w:after="0"/>
              <w:rPr>
                <w:b/>
                <w:sz w:val="22"/>
                <w:szCs w:val="22"/>
              </w:rPr>
            </w:pPr>
            <w:r w:rsidRPr="0056050F">
              <w:rPr>
                <w:sz w:val="22"/>
                <w:szCs w:val="22"/>
              </w:rPr>
              <w:t>Dozer Operations to Grizzly Hopper</w:t>
            </w:r>
            <w:r w:rsidR="0056050F" w:rsidRPr="0056050F">
              <w:rPr>
                <w:sz w:val="22"/>
                <w:szCs w:val="22"/>
              </w:rPr>
              <w:t xml:space="preserve"> (fugitive)</w:t>
            </w:r>
          </w:p>
        </w:tc>
        <w:tc>
          <w:tcPr>
            <w:tcW w:w="1260" w:type="dxa"/>
          </w:tcPr>
          <w:p w:rsidR="002A116D" w:rsidRPr="0056050F" w:rsidRDefault="002A116D" w:rsidP="00095095">
            <w:pPr>
              <w:ind w:right="72"/>
              <w:jc w:val="center"/>
              <w:rPr>
                <w:sz w:val="22"/>
                <w:szCs w:val="22"/>
              </w:rPr>
            </w:pPr>
            <w:r w:rsidRPr="0056050F">
              <w:rPr>
                <w:sz w:val="22"/>
                <w:szCs w:val="22"/>
              </w:rPr>
              <w:t>FH</w:t>
            </w:r>
            <w:r w:rsidRPr="0056050F">
              <w:rPr>
                <w:rFonts w:ascii="Cambria Math" w:hAnsi="Cambria Math"/>
                <w:sz w:val="22"/>
                <w:szCs w:val="22"/>
              </w:rPr>
              <w:t>‐101</w:t>
            </w:r>
          </w:p>
        </w:tc>
        <w:tc>
          <w:tcPr>
            <w:tcW w:w="1260" w:type="dxa"/>
          </w:tcPr>
          <w:p w:rsidR="002A116D" w:rsidRPr="0056050F" w:rsidRDefault="002A116D" w:rsidP="00095095">
            <w:pPr>
              <w:pStyle w:val="BodyText"/>
              <w:widowControl w:val="0"/>
              <w:spacing w:after="0"/>
              <w:jc w:val="center"/>
              <w:rPr>
                <w:sz w:val="22"/>
                <w:szCs w:val="22"/>
              </w:rPr>
            </w:pPr>
            <w:r w:rsidRPr="0056050F">
              <w:rPr>
                <w:sz w:val="22"/>
                <w:szCs w:val="22"/>
              </w:rPr>
              <w:t>2.2</w:t>
            </w:r>
          </w:p>
        </w:tc>
        <w:tc>
          <w:tcPr>
            <w:tcW w:w="1282" w:type="dxa"/>
          </w:tcPr>
          <w:p w:rsidR="002A116D" w:rsidRPr="0056050F" w:rsidRDefault="002A116D" w:rsidP="00095095">
            <w:pPr>
              <w:pStyle w:val="BodyText"/>
              <w:widowControl w:val="0"/>
              <w:spacing w:after="0"/>
              <w:jc w:val="center"/>
              <w:rPr>
                <w:sz w:val="22"/>
                <w:szCs w:val="22"/>
              </w:rPr>
            </w:pPr>
            <w:r w:rsidRPr="0056050F">
              <w:rPr>
                <w:sz w:val="22"/>
                <w:szCs w:val="22"/>
              </w:rPr>
              <w:t>1.1</w:t>
            </w:r>
          </w:p>
        </w:tc>
        <w:tc>
          <w:tcPr>
            <w:tcW w:w="1868" w:type="dxa"/>
          </w:tcPr>
          <w:p w:rsidR="002A116D" w:rsidRPr="0056050F" w:rsidRDefault="002A116D" w:rsidP="00095095">
            <w:pPr>
              <w:pStyle w:val="BodyText"/>
              <w:widowControl w:val="0"/>
              <w:spacing w:after="0"/>
              <w:jc w:val="center"/>
              <w:rPr>
                <w:sz w:val="22"/>
                <w:szCs w:val="22"/>
              </w:rPr>
            </w:pPr>
            <w:r w:rsidRPr="0056050F">
              <w:rPr>
                <w:sz w:val="22"/>
                <w:szCs w:val="22"/>
              </w:rPr>
              <w:t>0.16</w:t>
            </w:r>
          </w:p>
        </w:tc>
      </w:tr>
      <w:tr w:rsidR="002A116D" w:rsidRPr="0056050F" w:rsidTr="00DA23DE">
        <w:tc>
          <w:tcPr>
            <w:tcW w:w="4410" w:type="dxa"/>
          </w:tcPr>
          <w:p w:rsidR="002A116D" w:rsidRPr="0056050F" w:rsidRDefault="002A116D" w:rsidP="00095095">
            <w:pPr>
              <w:pStyle w:val="BodyText"/>
              <w:widowControl w:val="0"/>
              <w:spacing w:after="0"/>
              <w:rPr>
                <w:b/>
                <w:sz w:val="22"/>
                <w:szCs w:val="22"/>
              </w:rPr>
            </w:pPr>
            <w:r w:rsidRPr="0056050F">
              <w:rPr>
                <w:sz w:val="22"/>
                <w:szCs w:val="22"/>
              </w:rPr>
              <w:t xml:space="preserve">Grizzly Hopper to </w:t>
            </w:r>
            <w:r w:rsidR="00EF4519" w:rsidRPr="0056050F">
              <w:rPr>
                <w:sz w:val="22"/>
                <w:szCs w:val="22"/>
              </w:rPr>
              <w:t xml:space="preserve">Enclosed </w:t>
            </w:r>
            <w:r w:rsidR="0056050F" w:rsidRPr="0056050F">
              <w:rPr>
                <w:sz w:val="22"/>
                <w:szCs w:val="22"/>
              </w:rPr>
              <w:t xml:space="preserve">Bypass </w:t>
            </w:r>
            <w:r w:rsidRPr="0056050F">
              <w:rPr>
                <w:sz w:val="22"/>
                <w:szCs w:val="22"/>
              </w:rPr>
              <w:t>Conveyor</w:t>
            </w:r>
          </w:p>
        </w:tc>
        <w:tc>
          <w:tcPr>
            <w:tcW w:w="1260" w:type="dxa"/>
          </w:tcPr>
          <w:p w:rsidR="002A116D" w:rsidRPr="0056050F" w:rsidRDefault="002A116D" w:rsidP="00095095">
            <w:pPr>
              <w:ind w:right="72"/>
              <w:jc w:val="center"/>
              <w:rPr>
                <w:sz w:val="22"/>
                <w:szCs w:val="22"/>
              </w:rPr>
            </w:pPr>
            <w:r w:rsidRPr="0056050F">
              <w:rPr>
                <w:sz w:val="22"/>
                <w:szCs w:val="22"/>
              </w:rPr>
              <w:t>FH</w:t>
            </w:r>
            <w:r w:rsidRPr="0056050F">
              <w:rPr>
                <w:rFonts w:ascii="Cambria Math" w:hAnsi="Cambria Math"/>
                <w:sz w:val="22"/>
                <w:szCs w:val="22"/>
              </w:rPr>
              <w:t>‐102</w:t>
            </w:r>
          </w:p>
        </w:tc>
        <w:tc>
          <w:tcPr>
            <w:tcW w:w="1260" w:type="dxa"/>
          </w:tcPr>
          <w:p w:rsidR="002A116D" w:rsidRPr="0056050F" w:rsidRDefault="002A116D" w:rsidP="00095095">
            <w:pPr>
              <w:pStyle w:val="BodyText"/>
              <w:widowControl w:val="0"/>
              <w:spacing w:after="0"/>
              <w:jc w:val="center"/>
              <w:rPr>
                <w:sz w:val="22"/>
                <w:szCs w:val="22"/>
              </w:rPr>
            </w:pPr>
            <w:r w:rsidRPr="0056050F">
              <w:rPr>
                <w:sz w:val="22"/>
                <w:szCs w:val="22"/>
              </w:rPr>
              <w:t>0.22</w:t>
            </w:r>
          </w:p>
        </w:tc>
        <w:tc>
          <w:tcPr>
            <w:tcW w:w="1282" w:type="dxa"/>
          </w:tcPr>
          <w:p w:rsidR="002A116D" w:rsidRPr="0056050F" w:rsidRDefault="002A116D" w:rsidP="00095095">
            <w:pPr>
              <w:pStyle w:val="BodyText"/>
              <w:widowControl w:val="0"/>
              <w:spacing w:after="0"/>
              <w:jc w:val="center"/>
              <w:rPr>
                <w:sz w:val="22"/>
                <w:szCs w:val="22"/>
              </w:rPr>
            </w:pPr>
            <w:r w:rsidRPr="0056050F">
              <w:rPr>
                <w:sz w:val="22"/>
                <w:szCs w:val="22"/>
              </w:rPr>
              <w:t>0.11</w:t>
            </w:r>
          </w:p>
        </w:tc>
        <w:tc>
          <w:tcPr>
            <w:tcW w:w="1868" w:type="dxa"/>
          </w:tcPr>
          <w:p w:rsidR="002A116D" w:rsidRPr="0056050F" w:rsidRDefault="002A116D" w:rsidP="00095095">
            <w:pPr>
              <w:pStyle w:val="BodyText"/>
              <w:widowControl w:val="0"/>
              <w:spacing w:after="0"/>
              <w:jc w:val="center"/>
              <w:rPr>
                <w:sz w:val="22"/>
                <w:szCs w:val="22"/>
              </w:rPr>
            </w:pPr>
            <w:r w:rsidRPr="0056050F">
              <w:rPr>
                <w:sz w:val="22"/>
                <w:szCs w:val="22"/>
              </w:rPr>
              <w:t>0.016</w:t>
            </w:r>
          </w:p>
        </w:tc>
      </w:tr>
      <w:tr w:rsidR="002A116D" w:rsidRPr="00320491" w:rsidTr="00DA23DE">
        <w:tc>
          <w:tcPr>
            <w:tcW w:w="4410" w:type="dxa"/>
          </w:tcPr>
          <w:p w:rsidR="002A116D" w:rsidRPr="0056050F" w:rsidRDefault="0056050F" w:rsidP="00095095">
            <w:pPr>
              <w:pStyle w:val="BodyText"/>
              <w:widowControl w:val="0"/>
              <w:spacing w:after="0"/>
              <w:rPr>
                <w:b/>
                <w:sz w:val="22"/>
                <w:szCs w:val="22"/>
              </w:rPr>
            </w:pPr>
            <w:r w:rsidRPr="0056050F">
              <w:rPr>
                <w:sz w:val="22"/>
                <w:szCs w:val="22"/>
              </w:rPr>
              <w:t xml:space="preserve">Enclosed </w:t>
            </w:r>
            <w:r w:rsidR="002A116D" w:rsidRPr="0056050F">
              <w:rPr>
                <w:sz w:val="22"/>
                <w:szCs w:val="22"/>
              </w:rPr>
              <w:t>Bypass Conveyor to “K” Feeder to L1 or L2</w:t>
            </w:r>
          </w:p>
        </w:tc>
        <w:tc>
          <w:tcPr>
            <w:tcW w:w="1260" w:type="dxa"/>
          </w:tcPr>
          <w:p w:rsidR="002A116D" w:rsidRPr="0056050F" w:rsidRDefault="002A116D" w:rsidP="00095095">
            <w:pPr>
              <w:ind w:right="72"/>
              <w:jc w:val="center"/>
              <w:rPr>
                <w:sz w:val="22"/>
                <w:szCs w:val="22"/>
              </w:rPr>
            </w:pPr>
            <w:r w:rsidRPr="0056050F">
              <w:rPr>
                <w:sz w:val="22"/>
                <w:szCs w:val="22"/>
              </w:rPr>
              <w:t>FH</w:t>
            </w:r>
            <w:r w:rsidRPr="0056050F">
              <w:rPr>
                <w:rFonts w:ascii="Cambria Math" w:hAnsi="Cambria Math"/>
                <w:sz w:val="22"/>
                <w:szCs w:val="22"/>
              </w:rPr>
              <w:t>‐103</w:t>
            </w:r>
          </w:p>
        </w:tc>
        <w:tc>
          <w:tcPr>
            <w:tcW w:w="1260" w:type="dxa"/>
          </w:tcPr>
          <w:p w:rsidR="002A116D" w:rsidRPr="0056050F" w:rsidRDefault="002A116D" w:rsidP="00095095">
            <w:pPr>
              <w:pStyle w:val="BodyText"/>
              <w:widowControl w:val="0"/>
              <w:spacing w:after="0"/>
              <w:jc w:val="center"/>
              <w:rPr>
                <w:sz w:val="22"/>
                <w:szCs w:val="22"/>
              </w:rPr>
            </w:pPr>
            <w:r w:rsidRPr="0056050F">
              <w:rPr>
                <w:sz w:val="22"/>
                <w:szCs w:val="22"/>
              </w:rPr>
              <w:t>0.22</w:t>
            </w:r>
          </w:p>
        </w:tc>
        <w:tc>
          <w:tcPr>
            <w:tcW w:w="1282" w:type="dxa"/>
          </w:tcPr>
          <w:p w:rsidR="002A116D" w:rsidRPr="0056050F" w:rsidRDefault="002A116D" w:rsidP="00095095">
            <w:pPr>
              <w:pStyle w:val="BodyText"/>
              <w:widowControl w:val="0"/>
              <w:spacing w:after="0"/>
              <w:jc w:val="center"/>
              <w:rPr>
                <w:sz w:val="22"/>
                <w:szCs w:val="22"/>
              </w:rPr>
            </w:pPr>
            <w:r w:rsidRPr="0056050F">
              <w:rPr>
                <w:sz w:val="22"/>
                <w:szCs w:val="22"/>
              </w:rPr>
              <w:t>0.11</w:t>
            </w:r>
          </w:p>
        </w:tc>
        <w:tc>
          <w:tcPr>
            <w:tcW w:w="1868" w:type="dxa"/>
          </w:tcPr>
          <w:p w:rsidR="002A116D" w:rsidRPr="00320491" w:rsidRDefault="002A116D" w:rsidP="00095095">
            <w:pPr>
              <w:pStyle w:val="BodyText"/>
              <w:widowControl w:val="0"/>
              <w:spacing w:after="0"/>
              <w:jc w:val="center"/>
              <w:rPr>
                <w:sz w:val="22"/>
                <w:szCs w:val="22"/>
              </w:rPr>
            </w:pPr>
            <w:r w:rsidRPr="0056050F">
              <w:rPr>
                <w:sz w:val="22"/>
                <w:szCs w:val="22"/>
              </w:rPr>
              <w:t>0.016</w:t>
            </w:r>
          </w:p>
        </w:tc>
      </w:tr>
      <w:tr w:rsidR="002A116D" w:rsidRPr="00320491" w:rsidTr="00DA23DE">
        <w:tc>
          <w:tcPr>
            <w:tcW w:w="4410" w:type="dxa"/>
          </w:tcPr>
          <w:p w:rsidR="000E1087" w:rsidRPr="00320491" w:rsidRDefault="000E1087" w:rsidP="00095095">
            <w:pPr>
              <w:pStyle w:val="BodyText"/>
              <w:widowControl w:val="0"/>
              <w:spacing w:after="0"/>
              <w:rPr>
                <w:b/>
                <w:sz w:val="22"/>
                <w:szCs w:val="22"/>
              </w:rPr>
            </w:pPr>
          </w:p>
        </w:tc>
        <w:tc>
          <w:tcPr>
            <w:tcW w:w="1260" w:type="dxa"/>
          </w:tcPr>
          <w:p w:rsidR="000E1087" w:rsidRPr="003E0C85" w:rsidRDefault="002A116D" w:rsidP="00095095">
            <w:pPr>
              <w:pStyle w:val="BodyText"/>
              <w:widowControl w:val="0"/>
              <w:spacing w:after="0"/>
              <w:ind w:right="72"/>
              <w:jc w:val="center"/>
              <w:rPr>
                <w:sz w:val="22"/>
                <w:szCs w:val="22"/>
              </w:rPr>
            </w:pPr>
            <w:r w:rsidRPr="003E0C85">
              <w:rPr>
                <w:sz w:val="22"/>
                <w:szCs w:val="22"/>
              </w:rPr>
              <w:t>T</w:t>
            </w:r>
            <w:r w:rsidR="003E0C85" w:rsidRPr="003E0C85">
              <w:rPr>
                <w:sz w:val="22"/>
                <w:szCs w:val="22"/>
              </w:rPr>
              <w:t>OTAL</w:t>
            </w:r>
          </w:p>
        </w:tc>
        <w:tc>
          <w:tcPr>
            <w:tcW w:w="1260" w:type="dxa"/>
          </w:tcPr>
          <w:p w:rsidR="000E1087" w:rsidRPr="00320491" w:rsidRDefault="002A116D" w:rsidP="00095095">
            <w:pPr>
              <w:pStyle w:val="BodyText"/>
              <w:widowControl w:val="0"/>
              <w:spacing w:after="0"/>
              <w:jc w:val="center"/>
              <w:rPr>
                <w:sz w:val="22"/>
                <w:szCs w:val="22"/>
              </w:rPr>
            </w:pPr>
            <w:r w:rsidRPr="00320491">
              <w:rPr>
                <w:sz w:val="22"/>
                <w:szCs w:val="22"/>
              </w:rPr>
              <w:t>3.1</w:t>
            </w:r>
          </w:p>
        </w:tc>
        <w:tc>
          <w:tcPr>
            <w:tcW w:w="1282" w:type="dxa"/>
          </w:tcPr>
          <w:p w:rsidR="000E1087" w:rsidRPr="00320491" w:rsidRDefault="002A116D" w:rsidP="00095095">
            <w:pPr>
              <w:pStyle w:val="BodyText"/>
              <w:widowControl w:val="0"/>
              <w:spacing w:after="0"/>
              <w:jc w:val="center"/>
              <w:rPr>
                <w:sz w:val="22"/>
                <w:szCs w:val="22"/>
              </w:rPr>
            </w:pPr>
            <w:r w:rsidRPr="00320491">
              <w:rPr>
                <w:sz w:val="22"/>
                <w:szCs w:val="22"/>
              </w:rPr>
              <w:t>1.4</w:t>
            </w:r>
          </w:p>
        </w:tc>
        <w:tc>
          <w:tcPr>
            <w:tcW w:w="1868" w:type="dxa"/>
          </w:tcPr>
          <w:p w:rsidR="000E1087" w:rsidRPr="00320491" w:rsidRDefault="002A116D" w:rsidP="00095095">
            <w:pPr>
              <w:pStyle w:val="BodyText"/>
              <w:widowControl w:val="0"/>
              <w:spacing w:after="0"/>
              <w:jc w:val="center"/>
              <w:rPr>
                <w:sz w:val="22"/>
                <w:szCs w:val="22"/>
              </w:rPr>
            </w:pPr>
            <w:r w:rsidRPr="00320491">
              <w:rPr>
                <w:sz w:val="22"/>
                <w:szCs w:val="22"/>
              </w:rPr>
              <w:t>0.20</w:t>
            </w:r>
          </w:p>
        </w:tc>
      </w:tr>
      <w:tr w:rsidR="0011785E" w:rsidRPr="00320491" w:rsidTr="00DA23DE">
        <w:tc>
          <w:tcPr>
            <w:tcW w:w="4410" w:type="dxa"/>
          </w:tcPr>
          <w:p w:rsidR="0011785E" w:rsidRPr="00320491" w:rsidRDefault="0011785E" w:rsidP="00095095">
            <w:pPr>
              <w:pStyle w:val="BodyText"/>
              <w:widowControl w:val="0"/>
              <w:spacing w:after="0"/>
              <w:rPr>
                <w:b/>
                <w:sz w:val="22"/>
                <w:szCs w:val="22"/>
              </w:rPr>
            </w:pPr>
            <w:r>
              <w:rPr>
                <w:b/>
                <w:sz w:val="22"/>
                <w:szCs w:val="22"/>
              </w:rPr>
              <w:t>Significant Emissions Rate (SER)</w:t>
            </w:r>
          </w:p>
        </w:tc>
        <w:tc>
          <w:tcPr>
            <w:tcW w:w="1260" w:type="dxa"/>
          </w:tcPr>
          <w:p w:rsidR="0011785E" w:rsidRPr="00320491" w:rsidRDefault="0011785E" w:rsidP="00095095">
            <w:pPr>
              <w:pStyle w:val="BodyText"/>
              <w:widowControl w:val="0"/>
              <w:spacing w:after="0"/>
              <w:ind w:right="72"/>
              <w:jc w:val="center"/>
              <w:rPr>
                <w:b/>
                <w:sz w:val="22"/>
                <w:szCs w:val="22"/>
              </w:rPr>
            </w:pPr>
          </w:p>
        </w:tc>
        <w:tc>
          <w:tcPr>
            <w:tcW w:w="1260" w:type="dxa"/>
          </w:tcPr>
          <w:p w:rsidR="0011785E" w:rsidRPr="003E0C85" w:rsidRDefault="0011785E" w:rsidP="00095095">
            <w:pPr>
              <w:pStyle w:val="BodyText"/>
              <w:widowControl w:val="0"/>
              <w:spacing w:after="0"/>
              <w:jc w:val="center"/>
              <w:rPr>
                <w:b/>
                <w:sz w:val="22"/>
                <w:szCs w:val="22"/>
              </w:rPr>
            </w:pPr>
            <w:r w:rsidRPr="003E0C85">
              <w:rPr>
                <w:b/>
                <w:sz w:val="22"/>
                <w:szCs w:val="22"/>
              </w:rPr>
              <w:t>25</w:t>
            </w:r>
          </w:p>
        </w:tc>
        <w:tc>
          <w:tcPr>
            <w:tcW w:w="1282" w:type="dxa"/>
          </w:tcPr>
          <w:p w:rsidR="0011785E" w:rsidRPr="003E0C85" w:rsidRDefault="0011785E" w:rsidP="00095095">
            <w:pPr>
              <w:pStyle w:val="BodyText"/>
              <w:widowControl w:val="0"/>
              <w:spacing w:after="0"/>
              <w:jc w:val="center"/>
              <w:rPr>
                <w:b/>
                <w:sz w:val="22"/>
                <w:szCs w:val="22"/>
              </w:rPr>
            </w:pPr>
            <w:r w:rsidRPr="003E0C85">
              <w:rPr>
                <w:b/>
                <w:sz w:val="22"/>
                <w:szCs w:val="22"/>
              </w:rPr>
              <w:t>15</w:t>
            </w:r>
          </w:p>
        </w:tc>
        <w:tc>
          <w:tcPr>
            <w:tcW w:w="1868" w:type="dxa"/>
          </w:tcPr>
          <w:p w:rsidR="0011785E" w:rsidRPr="003E0C85" w:rsidRDefault="0011785E" w:rsidP="00095095">
            <w:pPr>
              <w:pStyle w:val="BodyText"/>
              <w:widowControl w:val="0"/>
              <w:spacing w:after="0"/>
              <w:jc w:val="center"/>
              <w:rPr>
                <w:b/>
                <w:sz w:val="22"/>
                <w:szCs w:val="22"/>
              </w:rPr>
            </w:pPr>
            <w:r w:rsidRPr="003E0C85">
              <w:rPr>
                <w:b/>
                <w:sz w:val="22"/>
                <w:szCs w:val="22"/>
              </w:rPr>
              <w:t>10</w:t>
            </w:r>
          </w:p>
        </w:tc>
      </w:tr>
    </w:tbl>
    <w:p w:rsidR="00FD0CDE" w:rsidRDefault="00FD0CDE" w:rsidP="00095095">
      <w:pPr>
        <w:widowControl w:val="0"/>
        <w:jc w:val="both"/>
        <w:rPr>
          <w:sz w:val="22"/>
          <w:szCs w:val="22"/>
        </w:rPr>
      </w:pPr>
    </w:p>
    <w:p w:rsidR="00670958" w:rsidRDefault="00670958" w:rsidP="00DA23DE">
      <w:pPr>
        <w:widowControl w:val="0"/>
        <w:spacing w:after="120"/>
        <w:rPr>
          <w:sz w:val="22"/>
          <w:szCs w:val="22"/>
        </w:rPr>
      </w:pPr>
      <w:r w:rsidRPr="000E1087">
        <w:rPr>
          <w:sz w:val="22"/>
          <w:szCs w:val="22"/>
        </w:rPr>
        <w:t>The AP-42 procedure</w:t>
      </w:r>
      <w:r w:rsidR="0056050F">
        <w:rPr>
          <w:sz w:val="22"/>
          <w:szCs w:val="22"/>
        </w:rPr>
        <w:t>s in</w:t>
      </w:r>
      <w:r w:rsidRPr="000E1087">
        <w:rPr>
          <w:sz w:val="22"/>
          <w:szCs w:val="22"/>
        </w:rPr>
        <w:t xml:space="preserve"> Section 13.2.2.2</w:t>
      </w:r>
      <w:r w:rsidR="0056050F">
        <w:rPr>
          <w:sz w:val="22"/>
          <w:szCs w:val="22"/>
        </w:rPr>
        <w:t xml:space="preserve"> were</w:t>
      </w:r>
      <w:r w:rsidRPr="000E1087">
        <w:rPr>
          <w:sz w:val="22"/>
          <w:szCs w:val="22"/>
        </w:rPr>
        <w:t xml:space="preserve"> used to calculate the PM/PM</w:t>
      </w:r>
      <w:r w:rsidRPr="004B7A52">
        <w:rPr>
          <w:sz w:val="22"/>
          <w:szCs w:val="22"/>
          <w:vertAlign w:val="subscript"/>
        </w:rPr>
        <w:t>10</w:t>
      </w:r>
      <w:r w:rsidRPr="000E1087">
        <w:rPr>
          <w:sz w:val="22"/>
          <w:szCs w:val="22"/>
        </w:rPr>
        <w:t>/PM</w:t>
      </w:r>
      <w:r w:rsidRPr="004B7A52">
        <w:rPr>
          <w:sz w:val="22"/>
          <w:szCs w:val="22"/>
          <w:vertAlign w:val="subscript"/>
        </w:rPr>
        <w:t>2.5</w:t>
      </w:r>
      <w:r w:rsidRPr="000E1087">
        <w:rPr>
          <w:sz w:val="22"/>
          <w:szCs w:val="22"/>
        </w:rPr>
        <w:t xml:space="preserve"> emissions from the </w:t>
      </w:r>
      <w:r w:rsidR="00D06DA3">
        <w:rPr>
          <w:sz w:val="22"/>
          <w:szCs w:val="22"/>
        </w:rPr>
        <w:t xml:space="preserve">heavy equipment (i.e. </w:t>
      </w:r>
      <w:r w:rsidR="00D06DA3" w:rsidRPr="000E1087">
        <w:rPr>
          <w:sz w:val="22"/>
          <w:szCs w:val="22"/>
        </w:rPr>
        <w:t>bulldozer Cat D9</w:t>
      </w:r>
      <w:r w:rsidR="00D06DA3">
        <w:rPr>
          <w:sz w:val="22"/>
          <w:szCs w:val="22"/>
        </w:rPr>
        <w:t xml:space="preserve"> or similar equipment)</w:t>
      </w:r>
      <w:r w:rsidRPr="000E1087">
        <w:rPr>
          <w:sz w:val="22"/>
          <w:szCs w:val="22"/>
        </w:rPr>
        <w:t xml:space="preserve"> operations</w:t>
      </w:r>
      <w:r w:rsidR="0056050F">
        <w:rPr>
          <w:sz w:val="22"/>
          <w:szCs w:val="22"/>
        </w:rPr>
        <w:t>.</w:t>
      </w:r>
      <w:r w:rsidRPr="000E1087">
        <w:rPr>
          <w:sz w:val="22"/>
          <w:szCs w:val="22"/>
        </w:rPr>
        <w:t xml:space="preserve"> </w:t>
      </w:r>
      <w:r w:rsidR="0056050F">
        <w:rPr>
          <w:sz w:val="22"/>
          <w:szCs w:val="22"/>
        </w:rPr>
        <w:t xml:space="preserve"> Procedures in</w:t>
      </w:r>
      <w:r w:rsidRPr="000E1087">
        <w:rPr>
          <w:sz w:val="22"/>
          <w:szCs w:val="22"/>
        </w:rPr>
        <w:t xml:space="preserve"> Section 13.2</w:t>
      </w:r>
      <w:r>
        <w:rPr>
          <w:sz w:val="22"/>
          <w:szCs w:val="22"/>
        </w:rPr>
        <w:t>.</w:t>
      </w:r>
      <w:r w:rsidRPr="000E1087">
        <w:rPr>
          <w:sz w:val="22"/>
          <w:szCs w:val="22"/>
        </w:rPr>
        <w:t>4.3 w</w:t>
      </w:r>
      <w:r w:rsidR="0056050F">
        <w:rPr>
          <w:sz w:val="22"/>
          <w:szCs w:val="22"/>
        </w:rPr>
        <w:t>ere</w:t>
      </w:r>
      <w:r w:rsidRPr="000E1087">
        <w:rPr>
          <w:sz w:val="22"/>
          <w:szCs w:val="22"/>
        </w:rPr>
        <w:t xml:space="preserve"> used to calculate emissions </w:t>
      </w:r>
      <w:r w:rsidR="00041E01">
        <w:rPr>
          <w:sz w:val="22"/>
          <w:szCs w:val="22"/>
        </w:rPr>
        <w:t>from</w:t>
      </w:r>
      <w:r w:rsidR="00041E01" w:rsidRPr="000E1087">
        <w:rPr>
          <w:sz w:val="22"/>
          <w:szCs w:val="22"/>
        </w:rPr>
        <w:t xml:space="preserve"> </w:t>
      </w:r>
      <w:r w:rsidRPr="000E1087">
        <w:rPr>
          <w:sz w:val="22"/>
          <w:szCs w:val="22"/>
        </w:rPr>
        <w:t>material handling operations</w:t>
      </w:r>
      <w:r w:rsidR="00041E01">
        <w:rPr>
          <w:sz w:val="22"/>
          <w:szCs w:val="22"/>
        </w:rPr>
        <w:t xml:space="preserve"> using coal as the solid material.</w:t>
      </w:r>
      <w:r w:rsidR="00041E01" w:rsidRPr="000E1087">
        <w:rPr>
          <w:sz w:val="22"/>
          <w:szCs w:val="22"/>
        </w:rPr>
        <w:t xml:space="preserve">  </w:t>
      </w:r>
      <w:r w:rsidRPr="000E1087">
        <w:rPr>
          <w:sz w:val="22"/>
          <w:szCs w:val="22"/>
        </w:rPr>
        <w:t>The calcu</w:t>
      </w:r>
      <w:r>
        <w:rPr>
          <w:sz w:val="22"/>
          <w:szCs w:val="22"/>
        </w:rPr>
        <w:t>la</w:t>
      </w:r>
      <w:r w:rsidRPr="000E1087">
        <w:rPr>
          <w:sz w:val="22"/>
          <w:szCs w:val="22"/>
        </w:rPr>
        <w:t xml:space="preserve">tions were based on operating at the maximum coal feed rates </w:t>
      </w:r>
      <w:r w:rsidR="00041E01">
        <w:rPr>
          <w:sz w:val="22"/>
          <w:szCs w:val="22"/>
        </w:rPr>
        <w:t xml:space="preserve">and the </w:t>
      </w:r>
      <w:r w:rsidR="000B5996">
        <w:rPr>
          <w:sz w:val="22"/>
          <w:szCs w:val="22"/>
        </w:rPr>
        <w:t xml:space="preserve">new </w:t>
      </w:r>
      <w:r w:rsidR="00041E01">
        <w:rPr>
          <w:sz w:val="22"/>
          <w:szCs w:val="22"/>
        </w:rPr>
        <w:t>system</w:t>
      </w:r>
      <w:r w:rsidRPr="000E1087">
        <w:rPr>
          <w:sz w:val="22"/>
          <w:szCs w:val="22"/>
        </w:rPr>
        <w:t xml:space="preserve"> operating at 8</w:t>
      </w:r>
      <w:r w:rsidR="00E07D7A">
        <w:rPr>
          <w:sz w:val="22"/>
          <w:szCs w:val="22"/>
        </w:rPr>
        <w:t>,</w:t>
      </w:r>
      <w:r w:rsidRPr="000E1087">
        <w:rPr>
          <w:sz w:val="22"/>
          <w:szCs w:val="22"/>
        </w:rPr>
        <w:t xml:space="preserve">760 hours per year.  </w:t>
      </w:r>
      <w:r w:rsidR="00041E01">
        <w:rPr>
          <w:sz w:val="22"/>
          <w:szCs w:val="22"/>
        </w:rPr>
        <w:t xml:space="preserve">Other </w:t>
      </w:r>
      <w:r w:rsidR="001353DA">
        <w:rPr>
          <w:sz w:val="22"/>
          <w:szCs w:val="22"/>
        </w:rPr>
        <w:t xml:space="preserve">supplemental materials </w:t>
      </w:r>
      <w:r w:rsidR="00041E01">
        <w:rPr>
          <w:sz w:val="22"/>
          <w:szCs w:val="22"/>
        </w:rPr>
        <w:t>like coal additives may be conveyed</w:t>
      </w:r>
      <w:r w:rsidR="00E07D7A">
        <w:rPr>
          <w:sz w:val="22"/>
          <w:szCs w:val="22"/>
        </w:rPr>
        <w:t>,</w:t>
      </w:r>
      <w:r w:rsidR="00041E01">
        <w:rPr>
          <w:sz w:val="22"/>
          <w:szCs w:val="22"/>
        </w:rPr>
        <w:t xml:space="preserve"> but this new system is expected to convey mainly coal for the 4 boilers at BBS.  </w:t>
      </w:r>
      <w:r w:rsidR="0056050F" w:rsidRPr="00CA426C">
        <w:rPr>
          <w:sz w:val="22"/>
          <w:szCs w:val="22"/>
        </w:rPr>
        <w:t xml:space="preserve">The </w:t>
      </w:r>
      <w:r w:rsidR="00CA426C" w:rsidRPr="00CA426C">
        <w:rPr>
          <w:sz w:val="22"/>
          <w:szCs w:val="22"/>
        </w:rPr>
        <w:t xml:space="preserve">State’s </w:t>
      </w:r>
      <w:r w:rsidR="0056050F" w:rsidRPr="00CA426C">
        <w:rPr>
          <w:sz w:val="22"/>
          <w:szCs w:val="22"/>
        </w:rPr>
        <w:t xml:space="preserve">general </w:t>
      </w:r>
      <w:r w:rsidR="00041E01" w:rsidRPr="00CA426C">
        <w:rPr>
          <w:sz w:val="22"/>
          <w:szCs w:val="22"/>
        </w:rPr>
        <w:t xml:space="preserve">20% visible emission limit will apply </w:t>
      </w:r>
      <w:r w:rsidR="00CA426C" w:rsidRPr="00CA426C">
        <w:rPr>
          <w:sz w:val="22"/>
          <w:szCs w:val="22"/>
        </w:rPr>
        <w:t>to the fugitive emissions generated by</w:t>
      </w:r>
      <w:r w:rsidR="00041E01" w:rsidRPr="00CA426C">
        <w:rPr>
          <w:sz w:val="22"/>
          <w:szCs w:val="22"/>
        </w:rPr>
        <w:t xml:space="preserve"> the </w:t>
      </w:r>
      <w:r w:rsidR="00B45878" w:rsidRPr="00CA426C">
        <w:rPr>
          <w:sz w:val="22"/>
          <w:szCs w:val="22"/>
        </w:rPr>
        <w:t>Dozer Stock Pile</w:t>
      </w:r>
      <w:r w:rsidR="00CA426C" w:rsidRPr="00CA426C">
        <w:rPr>
          <w:sz w:val="22"/>
          <w:szCs w:val="22"/>
        </w:rPr>
        <w:t xml:space="preserve"> Operations</w:t>
      </w:r>
      <w:r w:rsidR="00B45878" w:rsidRPr="00CA426C">
        <w:rPr>
          <w:sz w:val="22"/>
          <w:szCs w:val="22"/>
        </w:rPr>
        <w:t xml:space="preserve"> and the Dozer Operations to Grizzly H</w:t>
      </w:r>
      <w:r w:rsidR="00041E01" w:rsidRPr="00CA426C">
        <w:rPr>
          <w:sz w:val="22"/>
          <w:szCs w:val="22"/>
        </w:rPr>
        <w:t xml:space="preserve">opper </w:t>
      </w:r>
      <w:r w:rsidR="00B45878" w:rsidRPr="00CA426C">
        <w:rPr>
          <w:sz w:val="22"/>
          <w:szCs w:val="22"/>
        </w:rPr>
        <w:t>(FH-100 and FH-101)</w:t>
      </w:r>
      <w:r w:rsidR="00CA426C" w:rsidRPr="00CA426C">
        <w:rPr>
          <w:sz w:val="22"/>
          <w:szCs w:val="22"/>
        </w:rPr>
        <w:t xml:space="preserve">. </w:t>
      </w:r>
      <w:r w:rsidR="00AE10E7" w:rsidRPr="00CA426C">
        <w:rPr>
          <w:sz w:val="22"/>
          <w:szCs w:val="22"/>
        </w:rPr>
        <w:t xml:space="preserve"> </w:t>
      </w:r>
      <w:r w:rsidR="00CA426C" w:rsidRPr="00CA426C">
        <w:rPr>
          <w:sz w:val="22"/>
          <w:szCs w:val="22"/>
        </w:rPr>
        <w:t xml:space="preserve">The J3 </w:t>
      </w:r>
      <w:r w:rsidR="00D06DA3">
        <w:rPr>
          <w:sz w:val="22"/>
          <w:szCs w:val="22"/>
        </w:rPr>
        <w:t>C</w:t>
      </w:r>
      <w:r w:rsidR="00CA426C" w:rsidRPr="00CA426C">
        <w:rPr>
          <w:sz w:val="22"/>
          <w:szCs w:val="22"/>
        </w:rPr>
        <w:t>onveyor</w:t>
      </w:r>
      <w:r w:rsidR="00D06DA3">
        <w:rPr>
          <w:sz w:val="22"/>
          <w:szCs w:val="22"/>
        </w:rPr>
        <w:t xml:space="preserve"> System</w:t>
      </w:r>
      <w:r w:rsidR="00CA426C" w:rsidRPr="00CA426C">
        <w:rPr>
          <w:sz w:val="22"/>
          <w:szCs w:val="22"/>
        </w:rPr>
        <w:t xml:space="preserve"> will be </w:t>
      </w:r>
      <w:r w:rsidR="00D06DA3">
        <w:rPr>
          <w:sz w:val="22"/>
          <w:szCs w:val="22"/>
        </w:rPr>
        <w:t xml:space="preserve">generically </w:t>
      </w:r>
      <w:r w:rsidR="00CA426C" w:rsidRPr="00CA426C">
        <w:rPr>
          <w:sz w:val="22"/>
          <w:szCs w:val="22"/>
        </w:rPr>
        <w:t>subject to Hillsborough County’s</w:t>
      </w:r>
      <w:r w:rsidR="00AE10E7" w:rsidRPr="00CA426C">
        <w:rPr>
          <w:sz w:val="22"/>
          <w:szCs w:val="22"/>
        </w:rPr>
        <w:t xml:space="preserve"> 5% visible emission limit</w:t>
      </w:r>
      <w:r w:rsidR="00CA426C" w:rsidRPr="00CA426C">
        <w:rPr>
          <w:sz w:val="22"/>
          <w:szCs w:val="22"/>
        </w:rPr>
        <w:t>ation</w:t>
      </w:r>
      <w:r w:rsidR="00E07D7A" w:rsidRPr="00CA426C">
        <w:rPr>
          <w:sz w:val="22"/>
          <w:szCs w:val="22"/>
        </w:rPr>
        <w:t>;</w:t>
      </w:r>
      <w:r w:rsidR="007D2670" w:rsidRPr="00CA426C">
        <w:rPr>
          <w:sz w:val="22"/>
          <w:szCs w:val="22"/>
        </w:rPr>
        <w:t xml:space="preserve"> however</w:t>
      </w:r>
      <w:r w:rsidR="00E07D7A" w:rsidRPr="00CA426C">
        <w:rPr>
          <w:sz w:val="22"/>
          <w:szCs w:val="22"/>
        </w:rPr>
        <w:t>,</w:t>
      </w:r>
      <w:r w:rsidR="007D2670" w:rsidRPr="00CA426C">
        <w:rPr>
          <w:sz w:val="22"/>
          <w:szCs w:val="22"/>
        </w:rPr>
        <w:t xml:space="preserve"> emission testing </w:t>
      </w:r>
      <w:r w:rsidR="00353534" w:rsidRPr="00CA426C">
        <w:rPr>
          <w:sz w:val="22"/>
          <w:szCs w:val="22"/>
        </w:rPr>
        <w:t xml:space="preserve">is not required </w:t>
      </w:r>
      <w:r w:rsidR="00CA426C" w:rsidRPr="00CA426C">
        <w:rPr>
          <w:sz w:val="22"/>
          <w:szCs w:val="22"/>
        </w:rPr>
        <w:t xml:space="preserve">because the conveyors and </w:t>
      </w:r>
      <w:r w:rsidR="00D06DA3">
        <w:rPr>
          <w:sz w:val="22"/>
          <w:szCs w:val="22"/>
        </w:rPr>
        <w:t xml:space="preserve">static </w:t>
      </w:r>
      <w:r w:rsidR="00CA426C" w:rsidRPr="00CA426C">
        <w:rPr>
          <w:sz w:val="22"/>
          <w:szCs w:val="22"/>
        </w:rPr>
        <w:t xml:space="preserve">drop points are </w:t>
      </w:r>
      <w:r w:rsidR="00D06DA3">
        <w:rPr>
          <w:sz w:val="22"/>
          <w:szCs w:val="22"/>
        </w:rPr>
        <w:t>enclosed</w:t>
      </w:r>
      <w:r w:rsidR="00CA426C" w:rsidRPr="00CA426C">
        <w:rPr>
          <w:sz w:val="22"/>
          <w:szCs w:val="22"/>
        </w:rPr>
        <w:t>.  Therefore,</w:t>
      </w:r>
      <w:r w:rsidR="007D2670" w:rsidRPr="00CA426C">
        <w:rPr>
          <w:sz w:val="22"/>
          <w:szCs w:val="22"/>
        </w:rPr>
        <w:t xml:space="preserve"> there are no</w:t>
      </w:r>
      <w:r w:rsidR="00927625" w:rsidRPr="00CA426C">
        <w:rPr>
          <w:sz w:val="22"/>
          <w:szCs w:val="22"/>
        </w:rPr>
        <w:t xml:space="preserve"> defined</w:t>
      </w:r>
      <w:r w:rsidR="007D2670" w:rsidRPr="00CA426C">
        <w:rPr>
          <w:sz w:val="22"/>
          <w:szCs w:val="22"/>
        </w:rPr>
        <w:t xml:space="preserve"> emission points</w:t>
      </w:r>
      <w:r w:rsidR="00CA426C" w:rsidRPr="00CA426C">
        <w:rPr>
          <w:sz w:val="22"/>
          <w:szCs w:val="22"/>
        </w:rPr>
        <w:t xml:space="preserve"> from which to perform a test</w:t>
      </w:r>
      <w:r w:rsidR="00927625" w:rsidRPr="00CA426C">
        <w:rPr>
          <w:sz w:val="22"/>
          <w:szCs w:val="22"/>
        </w:rPr>
        <w:t>.</w:t>
      </w:r>
      <w:r w:rsidR="00AE10E7">
        <w:rPr>
          <w:sz w:val="22"/>
          <w:szCs w:val="22"/>
        </w:rPr>
        <w:t xml:space="preserve">  T</w:t>
      </w:r>
      <w:r w:rsidR="00041E01">
        <w:rPr>
          <w:sz w:val="22"/>
          <w:szCs w:val="22"/>
        </w:rPr>
        <w:t xml:space="preserve">he applicant is required to </w:t>
      </w:r>
      <w:r w:rsidR="00DF2B9C" w:rsidRPr="00CA426C">
        <w:rPr>
          <w:sz w:val="22"/>
          <w:szCs w:val="22"/>
        </w:rPr>
        <w:t>implement reasonable precautions</w:t>
      </w:r>
      <w:r w:rsidR="00D06DA3">
        <w:rPr>
          <w:sz w:val="22"/>
          <w:szCs w:val="22"/>
        </w:rPr>
        <w:t xml:space="preserve"> and best management practices</w:t>
      </w:r>
      <w:r w:rsidR="00DF2B9C" w:rsidRPr="00CA426C">
        <w:rPr>
          <w:sz w:val="22"/>
          <w:szCs w:val="22"/>
        </w:rPr>
        <w:t xml:space="preserve"> to prevent unconfined </w:t>
      </w:r>
      <w:r w:rsidR="00041E01" w:rsidRPr="00CA426C">
        <w:rPr>
          <w:sz w:val="22"/>
          <w:szCs w:val="22"/>
        </w:rPr>
        <w:t>f</w:t>
      </w:r>
      <w:r w:rsidR="00041E01">
        <w:rPr>
          <w:sz w:val="22"/>
          <w:szCs w:val="22"/>
        </w:rPr>
        <w:t>ugitive emissions when needed to minimize dust and to meet th</w:t>
      </w:r>
      <w:r w:rsidR="00AE10E7">
        <w:rPr>
          <w:sz w:val="22"/>
          <w:szCs w:val="22"/>
        </w:rPr>
        <w:t>ese</w:t>
      </w:r>
      <w:r w:rsidR="00041E01">
        <w:rPr>
          <w:sz w:val="22"/>
          <w:szCs w:val="22"/>
        </w:rPr>
        <w:t xml:space="preserve"> limit</w:t>
      </w:r>
      <w:r w:rsidR="00AE10E7">
        <w:rPr>
          <w:sz w:val="22"/>
          <w:szCs w:val="22"/>
        </w:rPr>
        <w:t>s</w:t>
      </w:r>
      <w:r w:rsidR="00041E01">
        <w:rPr>
          <w:sz w:val="22"/>
          <w:szCs w:val="22"/>
        </w:rPr>
        <w:t>.</w:t>
      </w:r>
    </w:p>
    <w:p w:rsidR="00463595" w:rsidRPr="00CA426C" w:rsidRDefault="00BC503A" w:rsidP="00DA23DE">
      <w:pPr>
        <w:widowControl w:val="0"/>
        <w:spacing w:after="120"/>
        <w:rPr>
          <w:sz w:val="22"/>
          <w:szCs w:val="22"/>
        </w:rPr>
      </w:pPr>
      <w:r w:rsidRPr="00CA426C">
        <w:rPr>
          <w:sz w:val="22"/>
          <w:szCs w:val="22"/>
        </w:rPr>
        <w:t xml:space="preserve">This </w:t>
      </w:r>
      <w:r w:rsidR="00041E01" w:rsidRPr="00CA426C">
        <w:rPr>
          <w:sz w:val="22"/>
          <w:szCs w:val="22"/>
        </w:rPr>
        <w:t xml:space="preserve">new </w:t>
      </w:r>
      <w:r w:rsidRPr="00CA426C">
        <w:rPr>
          <w:sz w:val="22"/>
          <w:szCs w:val="22"/>
        </w:rPr>
        <w:t>emission</w:t>
      </w:r>
      <w:r w:rsidR="00DF2B9C" w:rsidRPr="00CA426C">
        <w:rPr>
          <w:sz w:val="22"/>
          <w:szCs w:val="22"/>
        </w:rPr>
        <w:t>s</w:t>
      </w:r>
      <w:r w:rsidRPr="00CA426C">
        <w:rPr>
          <w:sz w:val="22"/>
          <w:szCs w:val="22"/>
        </w:rPr>
        <w:t xml:space="preserve"> unit </w:t>
      </w:r>
      <w:r w:rsidR="00C400D6" w:rsidRPr="00CA426C">
        <w:rPr>
          <w:sz w:val="22"/>
          <w:szCs w:val="22"/>
        </w:rPr>
        <w:t>and associate</w:t>
      </w:r>
      <w:r w:rsidR="00041E01" w:rsidRPr="00CA426C">
        <w:rPr>
          <w:sz w:val="22"/>
          <w:szCs w:val="22"/>
        </w:rPr>
        <w:t>d</w:t>
      </w:r>
      <w:r w:rsidR="00C400D6" w:rsidRPr="00CA426C">
        <w:rPr>
          <w:sz w:val="22"/>
          <w:szCs w:val="22"/>
        </w:rPr>
        <w:t xml:space="preserve"> </w:t>
      </w:r>
      <w:r w:rsidR="003C582A" w:rsidRPr="00CA426C">
        <w:rPr>
          <w:sz w:val="22"/>
          <w:szCs w:val="22"/>
        </w:rPr>
        <w:t>emi</w:t>
      </w:r>
      <w:r w:rsidR="005B67D9" w:rsidRPr="00CA426C">
        <w:rPr>
          <w:sz w:val="22"/>
          <w:szCs w:val="22"/>
        </w:rPr>
        <w:t>ssions</w:t>
      </w:r>
      <w:r w:rsidR="003C582A" w:rsidRPr="00CA426C">
        <w:rPr>
          <w:sz w:val="22"/>
          <w:szCs w:val="22"/>
        </w:rPr>
        <w:t xml:space="preserve"> </w:t>
      </w:r>
      <w:r w:rsidR="00C400D6" w:rsidRPr="00CA426C">
        <w:rPr>
          <w:sz w:val="22"/>
          <w:szCs w:val="22"/>
        </w:rPr>
        <w:t>points</w:t>
      </w:r>
      <w:r w:rsidR="0004658E" w:rsidRPr="00CA426C">
        <w:rPr>
          <w:sz w:val="22"/>
          <w:szCs w:val="22"/>
        </w:rPr>
        <w:t xml:space="preserve"> are</w:t>
      </w:r>
      <w:r w:rsidRPr="00CA426C">
        <w:rPr>
          <w:sz w:val="22"/>
          <w:szCs w:val="22"/>
        </w:rPr>
        <w:t xml:space="preserve"> subject to applicable requirements of 40 CFR 60, Subpart Y</w:t>
      </w:r>
      <w:r w:rsidR="00DF2B9C" w:rsidRPr="00CA426C">
        <w:rPr>
          <w:sz w:val="22"/>
          <w:szCs w:val="22"/>
        </w:rPr>
        <w:t xml:space="preserve"> </w:t>
      </w:r>
      <w:r w:rsidRPr="00CA426C">
        <w:rPr>
          <w:sz w:val="22"/>
          <w:szCs w:val="22"/>
        </w:rPr>
        <w:t>-</w:t>
      </w:r>
      <w:r w:rsidR="00DF2B9C" w:rsidRPr="00CA426C">
        <w:rPr>
          <w:sz w:val="22"/>
          <w:szCs w:val="22"/>
        </w:rPr>
        <w:t xml:space="preserve"> </w:t>
      </w:r>
      <w:r w:rsidRPr="00CA426C">
        <w:rPr>
          <w:sz w:val="22"/>
          <w:szCs w:val="22"/>
        </w:rPr>
        <w:t>Standard</w:t>
      </w:r>
      <w:r w:rsidR="00DF2B9C" w:rsidRPr="00CA426C">
        <w:rPr>
          <w:sz w:val="22"/>
          <w:szCs w:val="22"/>
        </w:rPr>
        <w:t>s</w:t>
      </w:r>
      <w:r w:rsidRPr="00CA426C">
        <w:rPr>
          <w:sz w:val="22"/>
          <w:szCs w:val="22"/>
        </w:rPr>
        <w:t xml:space="preserve"> of Performance for Coal Preparation Plants, adopted by reference in Rule 62-204.</w:t>
      </w:r>
      <w:r w:rsidR="00DF2B9C" w:rsidRPr="00CA426C">
        <w:rPr>
          <w:sz w:val="22"/>
          <w:szCs w:val="22"/>
        </w:rPr>
        <w:t>800</w:t>
      </w:r>
      <w:r w:rsidR="0062266B">
        <w:rPr>
          <w:sz w:val="22"/>
          <w:szCs w:val="22"/>
        </w:rPr>
        <w:t>(8) (b)</w:t>
      </w:r>
      <w:r w:rsidRPr="00CA426C">
        <w:rPr>
          <w:sz w:val="22"/>
          <w:szCs w:val="22"/>
        </w:rPr>
        <w:t>22</w:t>
      </w:r>
      <w:r w:rsidR="00DF2B9C" w:rsidRPr="00CA426C">
        <w:rPr>
          <w:sz w:val="22"/>
          <w:szCs w:val="22"/>
        </w:rPr>
        <w:t>.,</w:t>
      </w:r>
      <w:r w:rsidRPr="00CA426C">
        <w:rPr>
          <w:sz w:val="22"/>
          <w:szCs w:val="22"/>
        </w:rPr>
        <w:t xml:space="preserve"> F.A.C.</w:t>
      </w:r>
      <w:r w:rsidR="00DF2B9C" w:rsidRPr="00CA426C">
        <w:rPr>
          <w:sz w:val="22"/>
          <w:szCs w:val="22"/>
        </w:rPr>
        <w:t>;</w:t>
      </w:r>
      <w:r w:rsidR="00FD0CDE" w:rsidRPr="00CA426C">
        <w:rPr>
          <w:sz w:val="22"/>
          <w:szCs w:val="22"/>
        </w:rPr>
        <w:t xml:space="preserve"> and, </w:t>
      </w:r>
      <w:r w:rsidRPr="00CA426C">
        <w:rPr>
          <w:sz w:val="22"/>
          <w:szCs w:val="22"/>
        </w:rPr>
        <w:t>to Rule 62-296.320(4)</w:t>
      </w:r>
      <w:r w:rsidR="00DF2B9C" w:rsidRPr="00CA426C">
        <w:rPr>
          <w:sz w:val="22"/>
          <w:szCs w:val="22"/>
        </w:rPr>
        <w:t xml:space="preserve">(c), </w:t>
      </w:r>
      <w:r w:rsidRPr="00CA426C">
        <w:rPr>
          <w:sz w:val="22"/>
          <w:szCs w:val="22"/>
        </w:rPr>
        <w:t>F.A.C.</w:t>
      </w:r>
      <w:r w:rsidR="001616B2" w:rsidRPr="00CA426C">
        <w:rPr>
          <w:sz w:val="22"/>
          <w:szCs w:val="22"/>
        </w:rPr>
        <w:t xml:space="preserve">, </w:t>
      </w:r>
      <w:r w:rsidR="00DF2B9C" w:rsidRPr="00CA426C">
        <w:rPr>
          <w:sz w:val="22"/>
          <w:szCs w:val="22"/>
        </w:rPr>
        <w:t>Unconfined Emissions of Particulate Matter</w:t>
      </w:r>
      <w:r w:rsidR="00B45878" w:rsidRPr="00CA426C">
        <w:rPr>
          <w:sz w:val="22"/>
          <w:szCs w:val="22"/>
        </w:rPr>
        <w:t xml:space="preserve">.  </w:t>
      </w:r>
      <w:r w:rsidR="00463595" w:rsidRPr="00CA426C">
        <w:rPr>
          <w:sz w:val="22"/>
          <w:szCs w:val="22"/>
        </w:rPr>
        <w:t xml:space="preserve">This emission unit </w:t>
      </w:r>
      <w:r w:rsidR="00297F64" w:rsidRPr="00CA426C">
        <w:rPr>
          <w:sz w:val="22"/>
          <w:szCs w:val="22"/>
        </w:rPr>
        <w:t>and associated emissions points are</w:t>
      </w:r>
      <w:r w:rsidR="00463595" w:rsidRPr="00CA426C">
        <w:rPr>
          <w:sz w:val="22"/>
          <w:szCs w:val="22"/>
        </w:rPr>
        <w:t xml:space="preserve"> also subject to </w:t>
      </w:r>
      <w:r w:rsidR="005D3E46" w:rsidRPr="00CA426C">
        <w:rPr>
          <w:sz w:val="22"/>
          <w:szCs w:val="22"/>
        </w:rPr>
        <w:t>the Hillsborough County Environmental Protection Commission (HCEPC)</w:t>
      </w:r>
      <w:r w:rsidR="002D50C6" w:rsidRPr="00CA426C">
        <w:rPr>
          <w:sz w:val="22"/>
          <w:szCs w:val="22"/>
        </w:rPr>
        <w:t xml:space="preserve"> Rules</w:t>
      </w:r>
      <w:r w:rsidR="005D3E46" w:rsidRPr="00CA426C">
        <w:rPr>
          <w:sz w:val="22"/>
          <w:szCs w:val="22"/>
        </w:rPr>
        <w:t xml:space="preserve">, </w:t>
      </w:r>
      <w:r w:rsidR="00463595" w:rsidRPr="00CA426C">
        <w:rPr>
          <w:sz w:val="22"/>
          <w:szCs w:val="22"/>
        </w:rPr>
        <w:t xml:space="preserve">Chapter 1-3, Stationary Air Pollution Sources and Ambient Air Quality Standards; specifically </w:t>
      </w:r>
      <w:r w:rsidR="008F7687" w:rsidRPr="00CA426C">
        <w:rPr>
          <w:sz w:val="22"/>
          <w:szCs w:val="22"/>
        </w:rPr>
        <w:t>Part 5</w:t>
      </w:r>
      <w:r w:rsidR="00DF2B9C" w:rsidRPr="00CA426C">
        <w:rPr>
          <w:sz w:val="22"/>
          <w:szCs w:val="22"/>
        </w:rPr>
        <w:t xml:space="preserve">, </w:t>
      </w:r>
      <w:r w:rsidR="00463595" w:rsidRPr="00CA426C">
        <w:rPr>
          <w:sz w:val="22"/>
          <w:szCs w:val="22"/>
        </w:rPr>
        <w:t>Rule 1-3.52 Visible Emissions.</w:t>
      </w:r>
    </w:p>
    <w:p w:rsidR="00BC503A" w:rsidRDefault="00353534" w:rsidP="00DA23DE">
      <w:pPr>
        <w:widowControl w:val="0"/>
        <w:spacing w:after="120"/>
        <w:rPr>
          <w:sz w:val="22"/>
          <w:szCs w:val="22"/>
        </w:rPr>
      </w:pPr>
      <w:r w:rsidRPr="00CA426C">
        <w:rPr>
          <w:sz w:val="22"/>
          <w:szCs w:val="22"/>
        </w:rPr>
        <w:t>In addition, this</w:t>
      </w:r>
      <w:r w:rsidR="00B45878" w:rsidRPr="00CA426C">
        <w:rPr>
          <w:sz w:val="22"/>
          <w:szCs w:val="22"/>
        </w:rPr>
        <w:t xml:space="preserve"> new emission unit</w:t>
      </w:r>
      <w:r w:rsidRPr="00CA426C">
        <w:rPr>
          <w:sz w:val="22"/>
          <w:szCs w:val="22"/>
        </w:rPr>
        <w:t xml:space="preserve"> and associated emissions points are</w:t>
      </w:r>
      <w:r w:rsidR="00B45878" w:rsidRPr="00CA426C">
        <w:rPr>
          <w:sz w:val="22"/>
          <w:szCs w:val="22"/>
        </w:rPr>
        <w:t xml:space="preserve"> </w:t>
      </w:r>
      <w:r w:rsidR="00927625" w:rsidRPr="00CA426C">
        <w:rPr>
          <w:sz w:val="22"/>
          <w:szCs w:val="22"/>
        </w:rPr>
        <w:t xml:space="preserve">subject to </w:t>
      </w:r>
      <w:r w:rsidR="00B45878" w:rsidRPr="00CA426C">
        <w:rPr>
          <w:sz w:val="22"/>
          <w:szCs w:val="22"/>
        </w:rPr>
        <w:t xml:space="preserve">applicable requirement of </w:t>
      </w:r>
      <w:r w:rsidR="001616B2" w:rsidRPr="00CA426C">
        <w:rPr>
          <w:sz w:val="22"/>
          <w:szCs w:val="22"/>
        </w:rPr>
        <w:t xml:space="preserve">Rule 62-296.700 Reasonable Available Control Technology (RACT) and </w:t>
      </w:r>
      <w:r w:rsidRPr="00CA426C">
        <w:rPr>
          <w:sz w:val="22"/>
          <w:szCs w:val="22"/>
        </w:rPr>
        <w:t xml:space="preserve">RACT </w:t>
      </w:r>
      <w:r w:rsidR="001616B2" w:rsidRPr="00CA426C">
        <w:rPr>
          <w:sz w:val="22"/>
          <w:szCs w:val="22"/>
        </w:rPr>
        <w:t>Rule 62-296.711 Materials Handling, Sizing, Screening, Crushing and Grinding Operations</w:t>
      </w:r>
      <w:r w:rsidR="00927625" w:rsidRPr="00CA426C">
        <w:rPr>
          <w:sz w:val="22"/>
          <w:szCs w:val="22"/>
        </w:rPr>
        <w:t xml:space="preserve"> </w:t>
      </w:r>
      <w:r w:rsidRPr="00CA426C">
        <w:rPr>
          <w:sz w:val="22"/>
          <w:szCs w:val="22"/>
          <w:u w:val="single"/>
        </w:rPr>
        <w:t>because</w:t>
      </w:r>
      <w:r w:rsidR="00927625" w:rsidRPr="00CA426C">
        <w:rPr>
          <w:sz w:val="22"/>
          <w:szCs w:val="22"/>
        </w:rPr>
        <w:t xml:space="preserve"> Rule 1-3.51, Particulate Matter Emissions of the HCEPC </w:t>
      </w:r>
      <w:r w:rsidRPr="00CA426C">
        <w:rPr>
          <w:sz w:val="22"/>
          <w:szCs w:val="22"/>
        </w:rPr>
        <w:t>requires</w:t>
      </w:r>
      <w:r w:rsidR="00927625" w:rsidRPr="00CA426C">
        <w:rPr>
          <w:sz w:val="22"/>
          <w:szCs w:val="22"/>
        </w:rPr>
        <w:t xml:space="preserve"> new emissions units to be subject to the </w:t>
      </w:r>
      <w:r w:rsidR="00D04817" w:rsidRPr="00CA426C">
        <w:rPr>
          <w:sz w:val="22"/>
          <w:szCs w:val="22"/>
        </w:rPr>
        <w:t xml:space="preserve">Department </w:t>
      </w:r>
      <w:r w:rsidR="00927625" w:rsidRPr="00CA426C">
        <w:rPr>
          <w:sz w:val="22"/>
          <w:szCs w:val="22"/>
        </w:rPr>
        <w:t>RACT rule.</w:t>
      </w:r>
      <w:r w:rsidR="00463595">
        <w:rPr>
          <w:sz w:val="22"/>
          <w:szCs w:val="22"/>
        </w:rPr>
        <w:t xml:space="preserve">  </w:t>
      </w:r>
    </w:p>
    <w:p w:rsidR="00A72D82" w:rsidRDefault="00A72D82" w:rsidP="00095095">
      <w:pPr>
        <w:pStyle w:val="BodyText"/>
        <w:widowControl w:val="0"/>
        <w:rPr>
          <w:b/>
          <w:sz w:val="22"/>
          <w:szCs w:val="22"/>
        </w:rPr>
      </w:pPr>
      <w:r>
        <w:rPr>
          <w:b/>
          <w:sz w:val="22"/>
          <w:szCs w:val="22"/>
        </w:rPr>
        <w:t>4</w:t>
      </w:r>
      <w:r w:rsidRPr="009D101A">
        <w:rPr>
          <w:b/>
          <w:sz w:val="22"/>
          <w:szCs w:val="22"/>
        </w:rPr>
        <w:t xml:space="preserve">.  </w:t>
      </w:r>
      <w:r>
        <w:rPr>
          <w:b/>
          <w:sz w:val="22"/>
          <w:szCs w:val="22"/>
        </w:rPr>
        <w:t>PRELIMINARY DETERMINATION</w:t>
      </w:r>
    </w:p>
    <w:p w:rsidR="00A72D82" w:rsidRPr="002026D0" w:rsidRDefault="00A72D82" w:rsidP="00095095">
      <w:pPr>
        <w:pStyle w:val="BodyText"/>
        <w:widowControl w:val="0"/>
        <w:rPr>
          <w:sz w:val="22"/>
          <w:szCs w:val="22"/>
        </w:rPr>
      </w:pPr>
      <w:r w:rsidRPr="002026D0">
        <w:rPr>
          <w:sz w:val="22"/>
          <w:szCs w:val="22"/>
        </w:rPr>
        <w:t xml:space="preserve">The Department 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No air quality modeling analysis is required because the project does not result in a significant increase in emissions.  Teresa Heron </w:t>
      </w:r>
      <w:r w:rsidR="00041E01">
        <w:rPr>
          <w:sz w:val="22"/>
          <w:szCs w:val="22"/>
        </w:rPr>
        <w:t xml:space="preserve">and Martin Costello are </w:t>
      </w:r>
      <w:r w:rsidRPr="002026D0">
        <w:rPr>
          <w:sz w:val="22"/>
          <w:szCs w:val="22"/>
        </w:rPr>
        <w:t>the project engineer</w:t>
      </w:r>
      <w:r w:rsidR="00041E01">
        <w:rPr>
          <w:sz w:val="22"/>
          <w:szCs w:val="22"/>
        </w:rPr>
        <w:t>s</w:t>
      </w:r>
      <w:r w:rsidRPr="002026D0">
        <w:rPr>
          <w:sz w:val="22"/>
          <w:szCs w:val="22"/>
        </w:rPr>
        <w:t xml:space="preserve"> responsible for reviewing the application and drafting the permit documents.  Jonathan Holtom, P.E., is the Air Permitting Supervisor responsible for reviewing, editing and approving these documents.  Additional details of this analysis may be obtained by contacting the project engineer at the Department’s Division of Air Resource Management, Office of Permitting and Compliance at 2600 Blair Stone Road, Mail Station #5505, Tallahassee, Florida 32399-2400.</w:t>
      </w:r>
    </w:p>
    <w:p w:rsidR="00095095" w:rsidRDefault="00095095" w:rsidP="00095095">
      <w:pPr>
        <w:rPr>
          <w:b/>
          <w:sz w:val="22"/>
          <w:szCs w:val="22"/>
        </w:rPr>
      </w:pPr>
    </w:p>
    <w:p w:rsidR="00A72D82" w:rsidRDefault="00A72D82" w:rsidP="00095095">
      <w:pPr>
        <w:pStyle w:val="BodyText2"/>
        <w:numPr>
          <w:ilvl w:val="0"/>
          <w:numId w:val="0"/>
        </w:numPr>
        <w:rPr>
          <w:b/>
          <w:szCs w:val="22"/>
        </w:rPr>
      </w:pPr>
    </w:p>
    <w:sectPr w:rsidR="00A72D82" w:rsidSect="006A441F">
      <w:headerReference w:type="default" r:id="rId14"/>
      <w:footerReference w:type="default" r:id="rId15"/>
      <w:headerReference w:type="first" r:id="rId16"/>
      <w:footerReference w:type="first" r:id="rId17"/>
      <w:pgSz w:w="12240" w:h="15840" w:code="1"/>
      <w:pgMar w:top="1080" w:right="1080" w:bottom="720" w:left="1080" w:header="450" w:footer="570"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48A6" w:rsidRDefault="00C748A6">
      <w:r>
        <w:separator/>
      </w:r>
    </w:p>
  </w:endnote>
  <w:endnote w:type="continuationSeparator" w:id="0">
    <w:p w:rsidR="00C748A6" w:rsidRDefault="00C748A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onsolas">
    <w:panose1 w:val="020B0609020204030204"/>
    <w:charset w:val="00"/>
    <w:family w:val="modern"/>
    <w:pitch w:val="fixed"/>
    <w:sig w:usb0="A00002EF" w:usb1="4000204B" w:usb2="00000000" w:usb3="00000000" w:csb0="0000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MIonic">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8A6" w:rsidRPr="000F6922" w:rsidRDefault="00C748A6" w:rsidP="000F6922">
    <w:pPr>
      <w:pBdr>
        <w:top w:val="single" w:sz="4" w:space="1" w:color="auto"/>
      </w:pBdr>
      <w:tabs>
        <w:tab w:val="right" w:pos="10080"/>
      </w:tabs>
      <w:spacing w:before="240"/>
    </w:pPr>
    <w:r w:rsidRPr="000F6922">
      <w:t>Tampa Electric Company</w:t>
    </w:r>
    <w:r w:rsidRPr="000F6922">
      <w:tab/>
      <w:t>Project No. 0570039-057-AC</w:t>
    </w:r>
  </w:p>
  <w:p w:rsidR="00C748A6" w:rsidRPr="000F6922" w:rsidRDefault="00C748A6" w:rsidP="000F6922">
    <w:pPr>
      <w:pBdr>
        <w:top w:val="single" w:sz="4" w:space="1" w:color="auto"/>
      </w:pBdr>
      <w:tabs>
        <w:tab w:val="right" w:pos="10080"/>
      </w:tabs>
    </w:pPr>
    <w:r w:rsidRPr="000F6922">
      <w:t>Big Bend Station</w:t>
    </w:r>
    <w:r w:rsidRPr="000F6922">
      <w:tab/>
      <w:t>Supplemental Material Handling Conveyor System</w:t>
    </w:r>
  </w:p>
  <w:p w:rsidR="00C748A6" w:rsidRPr="000F6922" w:rsidRDefault="00C748A6">
    <w:pPr>
      <w:pStyle w:val="Footer"/>
      <w:tabs>
        <w:tab w:val="clear" w:pos="4320"/>
        <w:tab w:val="clear" w:pos="8640"/>
      </w:tabs>
      <w:jc w:val="center"/>
    </w:pPr>
    <w:r w:rsidRPr="000F6922">
      <w:rPr>
        <w:rStyle w:val="PageNumber"/>
      </w:rPr>
      <w:t xml:space="preserve">Page </w:t>
    </w:r>
    <w:r w:rsidRPr="000F6922">
      <w:rPr>
        <w:rStyle w:val="PageNumber"/>
      </w:rPr>
      <w:fldChar w:fldCharType="begin"/>
    </w:r>
    <w:r w:rsidRPr="000F6922">
      <w:rPr>
        <w:rStyle w:val="PageNumber"/>
      </w:rPr>
      <w:instrText xml:space="preserve"> PAGE </w:instrText>
    </w:r>
    <w:r w:rsidRPr="000F6922">
      <w:rPr>
        <w:rStyle w:val="PageNumber"/>
      </w:rPr>
      <w:fldChar w:fldCharType="separate"/>
    </w:r>
    <w:r w:rsidR="00B3441D">
      <w:rPr>
        <w:rStyle w:val="PageNumber"/>
        <w:noProof/>
      </w:rPr>
      <w:t>3</w:t>
    </w:r>
    <w:r w:rsidRPr="000F6922">
      <w:rPr>
        <w:rStyle w:val="PageNumber"/>
      </w:rPr>
      <w:fldChar w:fldCharType="end"/>
    </w:r>
    <w:r w:rsidRPr="000F6922">
      <w:rPr>
        <w:rStyle w:val="PageNumber"/>
      </w:rPr>
      <w:t xml:space="preserve"> of </w:t>
    </w:r>
    <w:r w:rsidRPr="000F6922">
      <w:rPr>
        <w:rStyle w:val="PageNumber"/>
      </w:rPr>
      <w:fldChar w:fldCharType="begin"/>
    </w:r>
    <w:r w:rsidRPr="000F6922">
      <w:rPr>
        <w:rStyle w:val="PageNumber"/>
      </w:rPr>
      <w:instrText xml:space="preserve"> NUMPAGES </w:instrText>
    </w:r>
    <w:r w:rsidRPr="000F6922">
      <w:rPr>
        <w:rStyle w:val="PageNumber"/>
      </w:rPr>
      <w:fldChar w:fldCharType="separate"/>
    </w:r>
    <w:r w:rsidR="00B3441D">
      <w:rPr>
        <w:rStyle w:val="PageNumber"/>
        <w:noProof/>
      </w:rPr>
      <w:t>7</w:t>
    </w:r>
    <w:r w:rsidRPr="000F6922">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8A6" w:rsidRDefault="00C748A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48A6" w:rsidRDefault="00C748A6">
      <w:r>
        <w:separator/>
      </w:r>
    </w:p>
  </w:footnote>
  <w:footnote w:type="continuationSeparator" w:id="0">
    <w:p w:rsidR="00C748A6" w:rsidRDefault="00C748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8A6" w:rsidRDefault="00C748A6">
    <w:pPr>
      <w:pStyle w:val="Header"/>
      <w:pBdr>
        <w:bottom w:val="single" w:sz="6" w:space="1" w:color="auto"/>
      </w:pBdr>
      <w:spacing w:after="240"/>
      <w:jc w:val="center"/>
      <w:rPr>
        <w:b/>
        <w:caps/>
        <w:sz w:val="22"/>
        <w:u w:val="single"/>
      </w:rPr>
    </w:pPr>
    <w:r>
      <w:rPr>
        <w:b/>
        <w:caps/>
        <w:sz w:val="22"/>
      </w:rPr>
      <w:t>TECHNICAL EVALUATION And Preliminary Determination</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8A6" w:rsidRDefault="00C748A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7F53CC4"/>
    <w:multiLevelType w:val="hybridMultilevel"/>
    <w:tmpl w:val="D452F88E"/>
    <w:lvl w:ilvl="0" w:tplc="D7E630A0">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767E75"/>
    <w:multiLevelType w:val="hybridMultilevel"/>
    <w:tmpl w:val="7DC8F73A"/>
    <w:lvl w:ilvl="0" w:tplc="0756DA7C">
      <w:start w:val="1"/>
      <w:numFmt w:val="upperRoman"/>
      <w:lvlText w:val="%1."/>
      <w:lvlJc w:val="left"/>
      <w:pPr>
        <w:tabs>
          <w:tab w:val="num" w:pos="72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22890955"/>
    <w:multiLevelType w:val="hybridMultilevel"/>
    <w:tmpl w:val="49C47B80"/>
    <w:lvl w:ilvl="0" w:tplc="1E0AC850">
      <w:start w:val="1"/>
      <w:numFmt w:val="upperLetter"/>
      <w:lvlText w:val="%1."/>
      <w:lvlJc w:val="left"/>
      <w:pPr>
        <w:tabs>
          <w:tab w:val="num" w:pos="1800"/>
        </w:tabs>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40C4B6F"/>
    <w:multiLevelType w:val="hybridMultilevel"/>
    <w:tmpl w:val="302A2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0561D11"/>
    <w:multiLevelType w:val="hybridMultilevel"/>
    <w:tmpl w:val="76AE737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0B36C11"/>
    <w:multiLevelType w:val="hybridMultilevel"/>
    <w:tmpl w:val="22348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0"/>
  </w:num>
  <w:num w:numId="4">
    <w:abstractNumId w:val="4"/>
  </w:num>
  <w:num w:numId="5">
    <w:abstractNumId w:val="6"/>
  </w:num>
  <w:num w:numId="6">
    <w:abstractNumId w:val="1"/>
  </w:num>
  <w:num w:numId="7">
    <w:abstractNumId w:val="8"/>
  </w:num>
  <w:num w:numId="8">
    <w:abstractNumId w:val="9"/>
  </w:num>
  <w:num w:numId="9">
    <w:abstractNumId w:val="2"/>
  </w:num>
  <w:num w:numId="10">
    <w:abstractNumId w:val="3"/>
  </w:num>
  <w:num w:numId="11">
    <w:abstractNumId w:val="7"/>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embedSystemFonts/>
  <w:proofState w:spelling="clean" w:grammar="clean"/>
  <w:stylePaneFormatFilter w:val="3F01"/>
  <w:defaultTabStop w:val="360"/>
  <w:displayHorizontalDrawingGridEvery w:val="0"/>
  <w:displayVerticalDrawingGridEvery w:val="0"/>
  <w:doNotUseMarginsForDrawingGridOrigin/>
  <w:noPunctuationKerning/>
  <w:characterSpacingControl w:val="doNotCompress"/>
  <w:hdrShapeDefaults>
    <o:shapedefaults v:ext="edit" spidmax="17409">
      <o:colormenu v:ext="edit" fillcolor="none"/>
    </o:shapedefaults>
  </w:hdrShapeDefaults>
  <w:footnotePr>
    <w:footnote w:id="-1"/>
    <w:footnote w:id="0"/>
  </w:footnotePr>
  <w:endnotePr>
    <w:endnote w:id="-1"/>
    <w:endnote w:id="0"/>
  </w:endnotePr>
  <w:compat/>
  <w:rsids>
    <w:rsidRoot w:val="00193F10"/>
    <w:rsid w:val="00000812"/>
    <w:rsid w:val="00000E3F"/>
    <w:rsid w:val="000034D5"/>
    <w:rsid w:val="0001070D"/>
    <w:rsid w:val="0002585A"/>
    <w:rsid w:val="000267F3"/>
    <w:rsid w:val="00035F33"/>
    <w:rsid w:val="00041E01"/>
    <w:rsid w:val="00045CAF"/>
    <w:rsid w:val="0004658E"/>
    <w:rsid w:val="00047921"/>
    <w:rsid w:val="0005730A"/>
    <w:rsid w:val="00065186"/>
    <w:rsid w:val="000718A0"/>
    <w:rsid w:val="00075698"/>
    <w:rsid w:val="00091A13"/>
    <w:rsid w:val="00095095"/>
    <w:rsid w:val="00096F43"/>
    <w:rsid w:val="000A2F4F"/>
    <w:rsid w:val="000B01EC"/>
    <w:rsid w:val="000B3948"/>
    <w:rsid w:val="000B3EBE"/>
    <w:rsid w:val="000B4B28"/>
    <w:rsid w:val="000B5996"/>
    <w:rsid w:val="000C2349"/>
    <w:rsid w:val="000C26FE"/>
    <w:rsid w:val="000C5143"/>
    <w:rsid w:val="000E1087"/>
    <w:rsid w:val="000E42D3"/>
    <w:rsid w:val="000E5A0E"/>
    <w:rsid w:val="000F4D59"/>
    <w:rsid w:val="000F6922"/>
    <w:rsid w:val="000F7F8B"/>
    <w:rsid w:val="00103E4E"/>
    <w:rsid w:val="00111453"/>
    <w:rsid w:val="001133F3"/>
    <w:rsid w:val="00115A0A"/>
    <w:rsid w:val="00115F2F"/>
    <w:rsid w:val="0011785E"/>
    <w:rsid w:val="00121149"/>
    <w:rsid w:val="00123118"/>
    <w:rsid w:val="0012355D"/>
    <w:rsid w:val="0012568C"/>
    <w:rsid w:val="00132826"/>
    <w:rsid w:val="001353DA"/>
    <w:rsid w:val="00140CD4"/>
    <w:rsid w:val="00143883"/>
    <w:rsid w:val="00152E0F"/>
    <w:rsid w:val="001616B2"/>
    <w:rsid w:val="00162DD7"/>
    <w:rsid w:val="00163A57"/>
    <w:rsid w:val="0016498D"/>
    <w:rsid w:val="00170A83"/>
    <w:rsid w:val="0017108E"/>
    <w:rsid w:val="00172402"/>
    <w:rsid w:val="001732A6"/>
    <w:rsid w:val="001771DC"/>
    <w:rsid w:val="001818FA"/>
    <w:rsid w:val="0019224D"/>
    <w:rsid w:val="00193F10"/>
    <w:rsid w:val="00194AA6"/>
    <w:rsid w:val="001960D9"/>
    <w:rsid w:val="001A1D4C"/>
    <w:rsid w:val="001A725D"/>
    <w:rsid w:val="001B07AE"/>
    <w:rsid w:val="001B6D7E"/>
    <w:rsid w:val="001C4E37"/>
    <w:rsid w:val="001D0194"/>
    <w:rsid w:val="001D0C95"/>
    <w:rsid w:val="001D1649"/>
    <w:rsid w:val="001D487F"/>
    <w:rsid w:val="001D7A22"/>
    <w:rsid w:val="001E2CD6"/>
    <w:rsid w:val="001E3790"/>
    <w:rsid w:val="001E6AB4"/>
    <w:rsid w:val="001E7593"/>
    <w:rsid w:val="001F04CB"/>
    <w:rsid w:val="001F133D"/>
    <w:rsid w:val="001F1A02"/>
    <w:rsid w:val="001F564D"/>
    <w:rsid w:val="001F6A09"/>
    <w:rsid w:val="00201860"/>
    <w:rsid w:val="00202C8D"/>
    <w:rsid w:val="0020761E"/>
    <w:rsid w:val="00211E11"/>
    <w:rsid w:val="00212C8C"/>
    <w:rsid w:val="002147BF"/>
    <w:rsid w:val="002225DD"/>
    <w:rsid w:val="00223F29"/>
    <w:rsid w:val="00230395"/>
    <w:rsid w:val="00230C75"/>
    <w:rsid w:val="0025704D"/>
    <w:rsid w:val="00263F0F"/>
    <w:rsid w:val="0026440C"/>
    <w:rsid w:val="0026516B"/>
    <w:rsid w:val="002677B9"/>
    <w:rsid w:val="0027113E"/>
    <w:rsid w:val="00280497"/>
    <w:rsid w:val="00281D0D"/>
    <w:rsid w:val="00286F91"/>
    <w:rsid w:val="00295E8F"/>
    <w:rsid w:val="00297F64"/>
    <w:rsid w:val="002A116D"/>
    <w:rsid w:val="002A28C2"/>
    <w:rsid w:val="002A570E"/>
    <w:rsid w:val="002A7983"/>
    <w:rsid w:val="002C08CC"/>
    <w:rsid w:val="002C28A2"/>
    <w:rsid w:val="002D4250"/>
    <w:rsid w:val="002D50C6"/>
    <w:rsid w:val="002D715B"/>
    <w:rsid w:val="002E6982"/>
    <w:rsid w:val="002F0E6E"/>
    <w:rsid w:val="002F1037"/>
    <w:rsid w:val="002F2855"/>
    <w:rsid w:val="00302267"/>
    <w:rsid w:val="00303C85"/>
    <w:rsid w:val="00311800"/>
    <w:rsid w:val="00315A88"/>
    <w:rsid w:val="00315B6B"/>
    <w:rsid w:val="00320491"/>
    <w:rsid w:val="00326E0E"/>
    <w:rsid w:val="0033363A"/>
    <w:rsid w:val="00346552"/>
    <w:rsid w:val="00353534"/>
    <w:rsid w:val="003579C6"/>
    <w:rsid w:val="00362B27"/>
    <w:rsid w:val="00374A45"/>
    <w:rsid w:val="003858DE"/>
    <w:rsid w:val="00390D09"/>
    <w:rsid w:val="0039482F"/>
    <w:rsid w:val="0039732E"/>
    <w:rsid w:val="0039757B"/>
    <w:rsid w:val="003A10F2"/>
    <w:rsid w:val="003A3520"/>
    <w:rsid w:val="003A3C29"/>
    <w:rsid w:val="003A414F"/>
    <w:rsid w:val="003B1E0A"/>
    <w:rsid w:val="003C153C"/>
    <w:rsid w:val="003C582A"/>
    <w:rsid w:val="003C5E48"/>
    <w:rsid w:val="003E0C85"/>
    <w:rsid w:val="003E683A"/>
    <w:rsid w:val="003F1AFB"/>
    <w:rsid w:val="003F3943"/>
    <w:rsid w:val="00400B42"/>
    <w:rsid w:val="00400BA6"/>
    <w:rsid w:val="0040283C"/>
    <w:rsid w:val="00403662"/>
    <w:rsid w:val="00410DF2"/>
    <w:rsid w:val="00412FE3"/>
    <w:rsid w:val="00414C28"/>
    <w:rsid w:val="00415DF4"/>
    <w:rsid w:val="004228F9"/>
    <w:rsid w:val="00427731"/>
    <w:rsid w:val="00427CB2"/>
    <w:rsid w:val="0043123B"/>
    <w:rsid w:val="00436455"/>
    <w:rsid w:val="00437811"/>
    <w:rsid w:val="004414F2"/>
    <w:rsid w:val="00442B5A"/>
    <w:rsid w:val="00446FE7"/>
    <w:rsid w:val="00463595"/>
    <w:rsid w:val="00466ACE"/>
    <w:rsid w:val="00476F56"/>
    <w:rsid w:val="004818DF"/>
    <w:rsid w:val="00487E4F"/>
    <w:rsid w:val="00495F83"/>
    <w:rsid w:val="004A342C"/>
    <w:rsid w:val="004A4182"/>
    <w:rsid w:val="004A70B1"/>
    <w:rsid w:val="004B5185"/>
    <w:rsid w:val="004B7A52"/>
    <w:rsid w:val="004B7D5A"/>
    <w:rsid w:val="004C0984"/>
    <w:rsid w:val="004C3974"/>
    <w:rsid w:val="004D1D9F"/>
    <w:rsid w:val="004D651A"/>
    <w:rsid w:val="004E417E"/>
    <w:rsid w:val="004E48C8"/>
    <w:rsid w:val="004E57B1"/>
    <w:rsid w:val="004E7658"/>
    <w:rsid w:val="00500238"/>
    <w:rsid w:val="00512ED8"/>
    <w:rsid w:val="00512F9C"/>
    <w:rsid w:val="0051595D"/>
    <w:rsid w:val="00517F6D"/>
    <w:rsid w:val="0052036E"/>
    <w:rsid w:val="00521308"/>
    <w:rsid w:val="00523B3C"/>
    <w:rsid w:val="005423D2"/>
    <w:rsid w:val="005425FC"/>
    <w:rsid w:val="00554C31"/>
    <w:rsid w:val="0056050F"/>
    <w:rsid w:val="005664B4"/>
    <w:rsid w:val="00566CEF"/>
    <w:rsid w:val="00570214"/>
    <w:rsid w:val="005775D5"/>
    <w:rsid w:val="00590427"/>
    <w:rsid w:val="005B67D9"/>
    <w:rsid w:val="005C166C"/>
    <w:rsid w:val="005D10D1"/>
    <w:rsid w:val="005D3E46"/>
    <w:rsid w:val="005D437B"/>
    <w:rsid w:val="005D6FBE"/>
    <w:rsid w:val="005E0212"/>
    <w:rsid w:val="005E1D16"/>
    <w:rsid w:val="005E36E4"/>
    <w:rsid w:val="005E4776"/>
    <w:rsid w:val="005F314B"/>
    <w:rsid w:val="005F68A8"/>
    <w:rsid w:val="006050D9"/>
    <w:rsid w:val="0061331C"/>
    <w:rsid w:val="00617209"/>
    <w:rsid w:val="006206B7"/>
    <w:rsid w:val="0062266B"/>
    <w:rsid w:val="006228AC"/>
    <w:rsid w:val="00634981"/>
    <w:rsid w:val="00637050"/>
    <w:rsid w:val="00637EB4"/>
    <w:rsid w:val="006408D2"/>
    <w:rsid w:val="006433DF"/>
    <w:rsid w:val="00644508"/>
    <w:rsid w:val="0064687C"/>
    <w:rsid w:val="00646F0A"/>
    <w:rsid w:val="0065210E"/>
    <w:rsid w:val="0065214A"/>
    <w:rsid w:val="00653898"/>
    <w:rsid w:val="0065500A"/>
    <w:rsid w:val="00655C77"/>
    <w:rsid w:val="00656559"/>
    <w:rsid w:val="00666809"/>
    <w:rsid w:val="006669D9"/>
    <w:rsid w:val="00670958"/>
    <w:rsid w:val="00681C04"/>
    <w:rsid w:val="00682122"/>
    <w:rsid w:val="00684184"/>
    <w:rsid w:val="0068569A"/>
    <w:rsid w:val="00686486"/>
    <w:rsid w:val="00687BF9"/>
    <w:rsid w:val="00691E7D"/>
    <w:rsid w:val="006A0ADB"/>
    <w:rsid w:val="006A298F"/>
    <w:rsid w:val="006A441F"/>
    <w:rsid w:val="006B2594"/>
    <w:rsid w:val="006B6EFE"/>
    <w:rsid w:val="006C53A0"/>
    <w:rsid w:val="006C5CD3"/>
    <w:rsid w:val="006C78A6"/>
    <w:rsid w:val="006D3F84"/>
    <w:rsid w:val="006E00BB"/>
    <w:rsid w:val="006E6C8F"/>
    <w:rsid w:val="006F0795"/>
    <w:rsid w:val="006F2C93"/>
    <w:rsid w:val="00701FEF"/>
    <w:rsid w:val="00704C88"/>
    <w:rsid w:val="007109C2"/>
    <w:rsid w:val="0071468F"/>
    <w:rsid w:val="00732055"/>
    <w:rsid w:val="00732276"/>
    <w:rsid w:val="00732DDA"/>
    <w:rsid w:val="00737F03"/>
    <w:rsid w:val="00741403"/>
    <w:rsid w:val="00741F1A"/>
    <w:rsid w:val="007562DA"/>
    <w:rsid w:val="007604B7"/>
    <w:rsid w:val="00762E18"/>
    <w:rsid w:val="00764943"/>
    <w:rsid w:val="007747AA"/>
    <w:rsid w:val="00776CA5"/>
    <w:rsid w:val="00782ABD"/>
    <w:rsid w:val="00784077"/>
    <w:rsid w:val="00786837"/>
    <w:rsid w:val="007A03DC"/>
    <w:rsid w:val="007A30C8"/>
    <w:rsid w:val="007A4E47"/>
    <w:rsid w:val="007B1180"/>
    <w:rsid w:val="007B5892"/>
    <w:rsid w:val="007B65FD"/>
    <w:rsid w:val="007B66DA"/>
    <w:rsid w:val="007C7C6B"/>
    <w:rsid w:val="007D2670"/>
    <w:rsid w:val="007D3D6C"/>
    <w:rsid w:val="007D6BA8"/>
    <w:rsid w:val="007D70F7"/>
    <w:rsid w:val="007E5CA3"/>
    <w:rsid w:val="007E61C1"/>
    <w:rsid w:val="007E6412"/>
    <w:rsid w:val="007F3EA3"/>
    <w:rsid w:val="007F4518"/>
    <w:rsid w:val="007F7B7E"/>
    <w:rsid w:val="0080308A"/>
    <w:rsid w:val="00804CB2"/>
    <w:rsid w:val="00814B2C"/>
    <w:rsid w:val="00817133"/>
    <w:rsid w:val="0082718C"/>
    <w:rsid w:val="00832D60"/>
    <w:rsid w:val="00835018"/>
    <w:rsid w:val="0085097C"/>
    <w:rsid w:val="00853C72"/>
    <w:rsid w:val="008573E6"/>
    <w:rsid w:val="008603FF"/>
    <w:rsid w:val="0086254D"/>
    <w:rsid w:val="008673D3"/>
    <w:rsid w:val="00871391"/>
    <w:rsid w:val="00871E49"/>
    <w:rsid w:val="00872745"/>
    <w:rsid w:val="0087715E"/>
    <w:rsid w:val="0088353C"/>
    <w:rsid w:val="00886DEE"/>
    <w:rsid w:val="00890B12"/>
    <w:rsid w:val="00892CAA"/>
    <w:rsid w:val="00896C27"/>
    <w:rsid w:val="008A1BFF"/>
    <w:rsid w:val="008A3D75"/>
    <w:rsid w:val="008A3FBE"/>
    <w:rsid w:val="008A7941"/>
    <w:rsid w:val="008B6C44"/>
    <w:rsid w:val="008C0041"/>
    <w:rsid w:val="008C203A"/>
    <w:rsid w:val="008C32EE"/>
    <w:rsid w:val="008C419D"/>
    <w:rsid w:val="008C625F"/>
    <w:rsid w:val="008D5402"/>
    <w:rsid w:val="008F0241"/>
    <w:rsid w:val="008F3789"/>
    <w:rsid w:val="008F6102"/>
    <w:rsid w:val="008F6E6B"/>
    <w:rsid w:val="008F7687"/>
    <w:rsid w:val="009001C9"/>
    <w:rsid w:val="00901217"/>
    <w:rsid w:val="00904827"/>
    <w:rsid w:val="00913035"/>
    <w:rsid w:val="00915F63"/>
    <w:rsid w:val="0091684E"/>
    <w:rsid w:val="00923618"/>
    <w:rsid w:val="00927625"/>
    <w:rsid w:val="00930A9C"/>
    <w:rsid w:val="0093238E"/>
    <w:rsid w:val="00936D9C"/>
    <w:rsid w:val="0094137B"/>
    <w:rsid w:val="00942D5A"/>
    <w:rsid w:val="00955781"/>
    <w:rsid w:val="00971553"/>
    <w:rsid w:val="00972545"/>
    <w:rsid w:val="009739FF"/>
    <w:rsid w:val="00975A5C"/>
    <w:rsid w:val="00981662"/>
    <w:rsid w:val="0098517B"/>
    <w:rsid w:val="00990216"/>
    <w:rsid w:val="0099294F"/>
    <w:rsid w:val="0099723C"/>
    <w:rsid w:val="009A3980"/>
    <w:rsid w:val="009B32D2"/>
    <w:rsid w:val="009B3615"/>
    <w:rsid w:val="009B41B7"/>
    <w:rsid w:val="009B5B12"/>
    <w:rsid w:val="009B734D"/>
    <w:rsid w:val="009B7849"/>
    <w:rsid w:val="009C0EF2"/>
    <w:rsid w:val="009C37BA"/>
    <w:rsid w:val="009C566F"/>
    <w:rsid w:val="009D101A"/>
    <w:rsid w:val="009D2BED"/>
    <w:rsid w:val="009E1880"/>
    <w:rsid w:val="009E5076"/>
    <w:rsid w:val="009E7BDC"/>
    <w:rsid w:val="009F0E40"/>
    <w:rsid w:val="009F3A3F"/>
    <w:rsid w:val="00A01054"/>
    <w:rsid w:val="00A03227"/>
    <w:rsid w:val="00A064AB"/>
    <w:rsid w:val="00A12CAD"/>
    <w:rsid w:val="00A31D07"/>
    <w:rsid w:val="00A3622C"/>
    <w:rsid w:val="00A52804"/>
    <w:rsid w:val="00A62F09"/>
    <w:rsid w:val="00A72D82"/>
    <w:rsid w:val="00A77342"/>
    <w:rsid w:val="00A776CF"/>
    <w:rsid w:val="00A80EC2"/>
    <w:rsid w:val="00A836C2"/>
    <w:rsid w:val="00A85BED"/>
    <w:rsid w:val="00A90CCC"/>
    <w:rsid w:val="00A9205C"/>
    <w:rsid w:val="00A938D5"/>
    <w:rsid w:val="00A93DCA"/>
    <w:rsid w:val="00A948F3"/>
    <w:rsid w:val="00AA0852"/>
    <w:rsid w:val="00AA5596"/>
    <w:rsid w:val="00AA6E74"/>
    <w:rsid w:val="00AB3C3C"/>
    <w:rsid w:val="00AB6C48"/>
    <w:rsid w:val="00AC33E4"/>
    <w:rsid w:val="00AC53F1"/>
    <w:rsid w:val="00AD12B0"/>
    <w:rsid w:val="00AD6464"/>
    <w:rsid w:val="00AE036D"/>
    <w:rsid w:val="00AE10E7"/>
    <w:rsid w:val="00AE6683"/>
    <w:rsid w:val="00AE735E"/>
    <w:rsid w:val="00AF27B5"/>
    <w:rsid w:val="00AF4D65"/>
    <w:rsid w:val="00B023E8"/>
    <w:rsid w:val="00B03ED5"/>
    <w:rsid w:val="00B04776"/>
    <w:rsid w:val="00B103DE"/>
    <w:rsid w:val="00B117E5"/>
    <w:rsid w:val="00B14CB2"/>
    <w:rsid w:val="00B17EBE"/>
    <w:rsid w:val="00B24712"/>
    <w:rsid w:val="00B300DF"/>
    <w:rsid w:val="00B3441D"/>
    <w:rsid w:val="00B3451D"/>
    <w:rsid w:val="00B45878"/>
    <w:rsid w:val="00B5225C"/>
    <w:rsid w:val="00B56563"/>
    <w:rsid w:val="00B57480"/>
    <w:rsid w:val="00B57B89"/>
    <w:rsid w:val="00B71029"/>
    <w:rsid w:val="00B73524"/>
    <w:rsid w:val="00B7612C"/>
    <w:rsid w:val="00B7672C"/>
    <w:rsid w:val="00B773BA"/>
    <w:rsid w:val="00B90F97"/>
    <w:rsid w:val="00B91F85"/>
    <w:rsid w:val="00B93C7D"/>
    <w:rsid w:val="00BB0080"/>
    <w:rsid w:val="00BB1087"/>
    <w:rsid w:val="00BB5E81"/>
    <w:rsid w:val="00BB683A"/>
    <w:rsid w:val="00BC0A0E"/>
    <w:rsid w:val="00BC25D7"/>
    <w:rsid w:val="00BC503A"/>
    <w:rsid w:val="00BC5729"/>
    <w:rsid w:val="00BD03B0"/>
    <w:rsid w:val="00BD0763"/>
    <w:rsid w:val="00BE0F0E"/>
    <w:rsid w:val="00BE0F78"/>
    <w:rsid w:val="00BE632B"/>
    <w:rsid w:val="00BE6457"/>
    <w:rsid w:val="00BE707A"/>
    <w:rsid w:val="00BF487B"/>
    <w:rsid w:val="00BF6C3F"/>
    <w:rsid w:val="00BF7683"/>
    <w:rsid w:val="00BF7B48"/>
    <w:rsid w:val="00C010C9"/>
    <w:rsid w:val="00C02BEB"/>
    <w:rsid w:val="00C03DF0"/>
    <w:rsid w:val="00C05428"/>
    <w:rsid w:val="00C0557B"/>
    <w:rsid w:val="00C06C6D"/>
    <w:rsid w:val="00C07DEC"/>
    <w:rsid w:val="00C154A8"/>
    <w:rsid w:val="00C20E7F"/>
    <w:rsid w:val="00C26145"/>
    <w:rsid w:val="00C3468C"/>
    <w:rsid w:val="00C36F3E"/>
    <w:rsid w:val="00C400D6"/>
    <w:rsid w:val="00C42EED"/>
    <w:rsid w:val="00C44FFD"/>
    <w:rsid w:val="00C47205"/>
    <w:rsid w:val="00C502D1"/>
    <w:rsid w:val="00C51126"/>
    <w:rsid w:val="00C5180D"/>
    <w:rsid w:val="00C532BC"/>
    <w:rsid w:val="00C538CC"/>
    <w:rsid w:val="00C55A13"/>
    <w:rsid w:val="00C609F5"/>
    <w:rsid w:val="00C615A7"/>
    <w:rsid w:val="00C6482E"/>
    <w:rsid w:val="00C66E7D"/>
    <w:rsid w:val="00C702E2"/>
    <w:rsid w:val="00C70427"/>
    <w:rsid w:val="00C72454"/>
    <w:rsid w:val="00C748A6"/>
    <w:rsid w:val="00C7510F"/>
    <w:rsid w:val="00C818D5"/>
    <w:rsid w:val="00C92391"/>
    <w:rsid w:val="00C92DF1"/>
    <w:rsid w:val="00C94C4E"/>
    <w:rsid w:val="00CA0029"/>
    <w:rsid w:val="00CA426C"/>
    <w:rsid w:val="00CA7809"/>
    <w:rsid w:val="00CC181A"/>
    <w:rsid w:val="00CC31AF"/>
    <w:rsid w:val="00CC6B1D"/>
    <w:rsid w:val="00CD2D5B"/>
    <w:rsid w:val="00CE068C"/>
    <w:rsid w:val="00CE32A9"/>
    <w:rsid w:val="00CE4BFE"/>
    <w:rsid w:val="00CE63D6"/>
    <w:rsid w:val="00CE6F21"/>
    <w:rsid w:val="00D0010E"/>
    <w:rsid w:val="00D04817"/>
    <w:rsid w:val="00D05A7E"/>
    <w:rsid w:val="00D06DA3"/>
    <w:rsid w:val="00D07098"/>
    <w:rsid w:val="00D07B72"/>
    <w:rsid w:val="00D12FD5"/>
    <w:rsid w:val="00D147B8"/>
    <w:rsid w:val="00D14B36"/>
    <w:rsid w:val="00D1773B"/>
    <w:rsid w:val="00D17B7A"/>
    <w:rsid w:val="00D24547"/>
    <w:rsid w:val="00D245E7"/>
    <w:rsid w:val="00D24F36"/>
    <w:rsid w:val="00D262B1"/>
    <w:rsid w:val="00D33F31"/>
    <w:rsid w:val="00D3585C"/>
    <w:rsid w:val="00D4398E"/>
    <w:rsid w:val="00D46C61"/>
    <w:rsid w:val="00D51D78"/>
    <w:rsid w:val="00D53B1F"/>
    <w:rsid w:val="00D56800"/>
    <w:rsid w:val="00D650F4"/>
    <w:rsid w:val="00D727AB"/>
    <w:rsid w:val="00D73F2E"/>
    <w:rsid w:val="00D7499F"/>
    <w:rsid w:val="00D75BB6"/>
    <w:rsid w:val="00D7663F"/>
    <w:rsid w:val="00D83B27"/>
    <w:rsid w:val="00D86898"/>
    <w:rsid w:val="00D873DD"/>
    <w:rsid w:val="00D94E61"/>
    <w:rsid w:val="00DA23DE"/>
    <w:rsid w:val="00DA29F8"/>
    <w:rsid w:val="00DA4D8D"/>
    <w:rsid w:val="00DB098B"/>
    <w:rsid w:val="00DB4E11"/>
    <w:rsid w:val="00DB6966"/>
    <w:rsid w:val="00DF0A05"/>
    <w:rsid w:val="00DF2B9C"/>
    <w:rsid w:val="00DF7539"/>
    <w:rsid w:val="00E07D7A"/>
    <w:rsid w:val="00E10B22"/>
    <w:rsid w:val="00E16769"/>
    <w:rsid w:val="00E40359"/>
    <w:rsid w:val="00E42819"/>
    <w:rsid w:val="00E43C46"/>
    <w:rsid w:val="00E43DCB"/>
    <w:rsid w:val="00E45247"/>
    <w:rsid w:val="00E50051"/>
    <w:rsid w:val="00E550FD"/>
    <w:rsid w:val="00E57DBA"/>
    <w:rsid w:val="00E607EE"/>
    <w:rsid w:val="00E609D7"/>
    <w:rsid w:val="00E628C6"/>
    <w:rsid w:val="00E6666F"/>
    <w:rsid w:val="00E81B6A"/>
    <w:rsid w:val="00E827C2"/>
    <w:rsid w:val="00E84B3B"/>
    <w:rsid w:val="00E8782A"/>
    <w:rsid w:val="00E87C11"/>
    <w:rsid w:val="00EA52FC"/>
    <w:rsid w:val="00EA6A80"/>
    <w:rsid w:val="00EB4CD7"/>
    <w:rsid w:val="00EB602F"/>
    <w:rsid w:val="00EB7CCE"/>
    <w:rsid w:val="00EC0DCF"/>
    <w:rsid w:val="00EC344E"/>
    <w:rsid w:val="00EC7D94"/>
    <w:rsid w:val="00EE23A3"/>
    <w:rsid w:val="00EE6112"/>
    <w:rsid w:val="00EF041E"/>
    <w:rsid w:val="00EF136F"/>
    <w:rsid w:val="00EF3BA8"/>
    <w:rsid w:val="00EF4513"/>
    <w:rsid w:val="00EF4519"/>
    <w:rsid w:val="00EF6342"/>
    <w:rsid w:val="00F01E10"/>
    <w:rsid w:val="00F0775A"/>
    <w:rsid w:val="00F15B15"/>
    <w:rsid w:val="00F161EB"/>
    <w:rsid w:val="00F176C0"/>
    <w:rsid w:val="00F23572"/>
    <w:rsid w:val="00F26925"/>
    <w:rsid w:val="00F27978"/>
    <w:rsid w:val="00F3216E"/>
    <w:rsid w:val="00F3688D"/>
    <w:rsid w:val="00F437F9"/>
    <w:rsid w:val="00F50E26"/>
    <w:rsid w:val="00F51624"/>
    <w:rsid w:val="00F5427A"/>
    <w:rsid w:val="00F631E9"/>
    <w:rsid w:val="00F71458"/>
    <w:rsid w:val="00F72478"/>
    <w:rsid w:val="00F77D22"/>
    <w:rsid w:val="00F832C1"/>
    <w:rsid w:val="00F91E33"/>
    <w:rsid w:val="00F97CA3"/>
    <w:rsid w:val="00FA2DA1"/>
    <w:rsid w:val="00FA6A7F"/>
    <w:rsid w:val="00FB2701"/>
    <w:rsid w:val="00FB3843"/>
    <w:rsid w:val="00FC169D"/>
    <w:rsid w:val="00FC26A6"/>
    <w:rsid w:val="00FC28DC"/>
    <w:rsid w:val="00FD054E"/>
    <w:rsid w:val="00FD0CDE"/>
    <w:rsid w:val="00FD6C32"/>
    <w:rsid w:val="00FD721F"/>
    <w:rsid w:val="00FD7AB8"/>
    <w:rsid w:val="00FE16C3"/>
    <w:rsid w:val="00FE372A"/>
    <w:rsid w:val="00FE67D4"/>
    <w:rsid w:val="00FF18EE"/>
    <w:rsid w:val="00FF1A81"/>
    <w:rsid w:val="00FF46C7"/>
    <w:rsid w:val="00FF6AE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place"/>
  <w:smartTagType w:namespaceuri="urn:schemas-microsoft-com:office:smarttags" w:name="State"/>
  <w:smartTagType w:namespaceuri="urn:schemas-microsoft-com:office:smarttags" w:name="City"/>
  <w:shapeDefaults>
    <o:shapedefaults v:ext="edit" spidmax="17409">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C37BA"/>
  </w:style>
  <w:style w:type="paragraph" w:styleId="Heading1">
    <w:name w:val="heading 1"/>
    <w:basedOn w:val="Normal"/>
    <w:next w:val="Normal"/>
    <w:qFormat/>
    <w:rsid w:val="009C37BA"/>
    <w:pPr>
      <w:keepNext/>
      <w:spacing w:after="120"/>
      <w:ind w:left="634"/>
      <w:outlineLvl w:val="0"/>
    </w:pPr>
    <w:rPr>
      <w:sz w:val="28"/>
    </w:rPr>
  </w:style>
  <w:style w:type="paragraph" w:styleId="Heading2">
    <w:name w:val="heading 2"/>
    <w:basedOn w:val="Normal"/>
    <w:next w:val="Normal"/>
    <w:qFormat/>
    <w:rsid w:val="009C37BA"/>
    <w:pPr>
      <w:keepNext/>
      <w:ind w:left="630"/>
      <w:outlineLvl w:val="1"/>
    </w:pPr>
    <w:rPr>
      <w:i/>
      <w:sz w:val="23"/>
    </w:rPr>
  </w:style>
  <w:style w:type="paragraph" w:styleId="Heading3">
    <w:name w:val="heading 3"/>
    <w:basedOn w:val="Normal"/>
    <w:next w:val="Normal"/>
    <w:qFormat/>
    <w:rsid w:val="009C37BA"/>
    <w:pPr>
      <w:keepNext/>
      <w:jc w:val="center"/>
      <w:outlineLvl w:val="2"/>
    </w:pPr>
    <w:rPr>
      <w:sz w:val="28"/>
    </w:rPr>
  </w:style>
  <w:style w:type="paragraph" w:styleId="Heading4">
    <w:name w:val="heading 4"/>
    <w:basedOn w:val="Normal"/>
    <w:next w:val="Normal"/>
    <w:qFormat/>
    <w:rsid w:val="009C37BA"/>
    <w:pPr>
      <w:keepNext/>
      <w:jc w:val="center"/>
      <w:outlineLvl w:val="3"/>
    </w:pPr>
    <w:rPr>
      <w:b/>
      <w:sz w:val="22"/>
    </w:rPr>
  </w:style>
  <w:style w:type="paragraph" w:styleId="Heading5">
    <w:name w:val="heading 5"/>
    <w:basedOn w:val="Normal"/>
    <w:next w:val="Normal"/>
    <w:qFormat/>
    <w:rsid w:val="009C37BA"/>
    <w:pPr>
      <w:keepNext/>
      <w:spacing w:after="120"/>
      <w:ind w:left="720"/>
      <w:outlineLvl w:val="4"/>
    </w:pPr>
    <w:rPr>
      <w:b/>
      <w:sz w:val="22"/>
    </w:rPr>
  </w:style>
  <w:style w:type="paragraph" w:styleId="Heading6">
    <w:name w:val="heading 6"/>
    <w:basedOn w:val="Normal"/>
    <w:next w:val="Normal"/>
    <w:qFormat/>
    <w:rsid w:val="009C37BA"/>
    <w:pPr>
      <w:keepNext/>
      <w:jc w:val="center"/>
      <w:outlineLvl w:val="5"/>
    </w:pPr>
    <w:rPr>
      <w:b/>
      <w:sz w:val="24"/>
    </w:rPr>
  </w:style>
  <w:style w:type="paragraph" w:styleId="Heading7">
    <w:name w:val="heading 7"/>
    <w:basedOn w:val="Normal"/>
    <w:next w:val="Normal"/>
    <w:qFormat/>
    <w:rsid w:val="009C37BA"/>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9C37BA"/>
    <w:pPr>
      <w:keepNext/>
      <w:spacing w:after="120"/>
      <w:outlineLvl w:val="7"/>
    </w:pPr>
    <w:rPr>
      <w:b/>
      <w:caps/>
      <w:sz w:val="22"/>
    </w:rPr>
  </w:style>
  <w:style w:type="paragraph" w:styleId="Heading9">
    <w:name w:val="heading 9"/>
    <w:basedOn w:val="Normal"/>
    <w:next w:val="Normal"/>
    <w:qFormat/>
    <w:rsid w:val="009C37BA"/>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9C37BA"/>
    <w:rPr>
      <w:vertAlign w:val="superscript"/>
    </w:rPr>
  </w:style>
  <w:style w:type="paragraph" w:styleId="Header">
    <w:name w:val="header"/>
    <w:basedOn w:val="Normal"/>
    <w:link w:val="HeaderChar"/>
    <w:rsid w:val="009C37BA"/>
    <w:pPr>
      <w:tabs>
        <w:tab w:val="center" w:pos="4320"/>
        <w:tab w:val="right" w:pos="8640"/>
      </w:tabs>
    </w:pPr>
  </w:style>
  <w:style w:type="character" w:styleId="PageNumber">
    <w:name w:val="page number"/>
    <w:basedOn w:val="DefaultParagraphFont"/>
    <w:rsid w:val="009C37BA"/>
  </w:style>
  <w:style w:type="paragraph" w:styleId="Footer">
    <w:name w:val="footer"/>
    <w:basedOn w:val="Normal"/>
    <w:rsid w:val="009C37BA"/>
    <w:pPr>
      <w:tabs>
        <w:tab w:val="center" w:pos="4320"/>
        <w:tab w:val="right" w:pos="8640"/>
      </w:tabs>
    </w:pPr>
  </w:style>
  <w:style w:type="paragraph" w:styleId="BodyTextIndent">
    <w:name w:val="Body Text Indent"/>
    <w:basedOn w:val="Normal"/>
    <w:rsid w:val="009C37BA"/>
    <w:pPr>
      <w:spacing w:after="120"/>
      <w:ind w:left="634"/>
    </w:pPr>
    <w:rPr>
      <w:sz w:val="24"/>
    </w:rPr>
  </w:style>
  <w:style w:type="paragraph" w:styleId="BodyTextIndent2">
    <w:name w:val="Body Text Indent 2"/>
    <w:basedOn w:val="Normal"/>
    <w:rsid w:val="009C37BA"/>
    <w:pPr>
      <w:tabs>
        <w:tab w:val="left" w:pos="630"/>
      </w:tabs>
      <w:spacing w:after="120"/>
      <w:ind w:left="630"/>
    </w:pPr>
    <w:rPr>
      <w:sz w:val="24"/>
    </w:rPr>
  </w:style>
  <w:style w:type="paragraph" w:styleId="BodyTextIndent3">
    <w:name w:val="Body Text Indent 3"/>
    <w:basedOn w:val="Normal"/>
    <w:rsid w:val="009C37BA"/>
    <w:pPr>
      <w:spacing w:before="240" w:after="120"/>
      <w:ind w:left="634"/>
      <w:jc w:val="center"/>
    </w:pPr>
    <w:rPr>
      <w:caps/>
      <w:sz w:val="24"/>
    </w:rPr>
  </w:style>
  <w:style w:type="paragraph" w:styleId="BodyText2">
    <w:name w:val="Body Text 2"/>
    <w:basedOn w:val="Normal"/>
    <w:link w:val="BodyText2Char"/>
    <w:rsid w:val="009C37BA"/>
    <w:pPr>
      <w:numPr>
        <w:ilvl w:val="12"/>
      </w:numPr>
      <w:spacing w:after="120"/>
      <w:jc w:val="both"/>
    </w:pPr>
    <w:rPr>
      <w:sz w:val="22"/>
    </w:rPr>
  </w:style>
  <w:style w:type="paragraph" w:styleId="Title">
    <w:name w:val="Title"/>
    <w:basedOn w:val="Normal"/>
    <w:qFormat/>
    <w:rsid w:val="009C37BA"/>
    <w:pPr>
      <w:jc w:val="center"/>
    </w:pPr>
    <w:rPr>
      <w:b/>
      <w:sz w:val="24"/>
    </w:rPr>
  </w:style>
  <w:style w:type="paragraph" w:styleId="BodyText">
    <w:name w:val="Body Text"/>
    <w:aliases w:val="SCA Body Text,SCA Body Text1,SCA Body Text2,SCA Body Text11,BodyText-JEA,BT-JEA"/>
    <w:basedOn w:val="Normal"/>
    <w:link w:val="BodyTextChar"/>
    <w:rsid w:val="009C37BA"/>
    <w:pPr>
      <w:spacing w:after="120"/>
    </w:pPr>
    <w:rPr>
      <w:sz w:val="24"/>
    </w:rPr>
  </w:style>
  <w:style w:type="paragraph" w:styleId="BodyText3">
    <w:name w:val="Body Text 3"/>
    <w:basedOn w:val="Normal"/>
    <w:rsid w:val="009C37BA"/>
    <w:pPr>
      <w:spacing w:before="120" w:after="120"/>
    </w:pPr>
    <w:rPr>
      <w:sz w:val="22"/>
    </w:rPr>
  </w:style>
  <w:style w:type="paragraph" w:customStyle="1" w:styleId="Style4">
    <w:name w:val="Style4"/>
    <w:next w:val="Normal"/>
    <w:rsid w:val="009C37BA"/>
    <w:rPr>
      <w:noProof/>
      <w:sz w:val="24"/>
    </w:rPr>
  </w:style>
  <w:style w:type="paragraph" w:styleId="BlockText">
    <w:name w:val="Block Text"/>
    <w:basedOn w:val="Normal"/>
    <w:rsid w:val="009C37BA"/>
    <w:pPr>
      <w:spacing w:after="120"/>
      <w:ind w:left="720" w:right="43"/>
      <w:jc w:val="both"/>
    </w:pPr>
    <w:rPr>
      <w:sz w:val="22"/>
    </w:rPr>
  </w:style>
  <w:style w:type="character" w:styleId="Hyperlink">
    <w:name w:val="Hyperlink"/>
    <w:basedOn w:val="DefaultParagraphFont"/>
    <w:rsid w:val="009C37BA"/>
    <w:rPr>
      <w:color w:val="0000FF"/>
      <w:u w:val="single"/>
    </w:rPr>
  </w:style>
  <w:style w:type="paragraph" w:customStyle="1" w:styleId="SCATableHeading">
    <w:name w:val="SCA Table Heading"/>
    <w:basedOn w:val="Normal"/>
    <w:rsid w:val="009C37BA"/>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table" w:styleId="TableGrid">
    <w:name w:val="Table Grid"/>
    <w:basedOn w:val="TableNormal"/>
    <w:rsid w:val="00F368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rsid w:val="00F437F9"/>
  </w:style>
  <w:style w:type="character" w:customStyle="1" w:styleId="FootnoteTextChar">
    <w:name w:val="Footnote Text Char"/>
    <w:basedOn w:val="DefaultParagraphFont"/>
    <w:link w:val="FootnoteText"/>
    <w:rsid w:val="00F437F9"/>
  </w:style>
  <w:style w:type="character" w:styleId="FootnoteReference">
    <w:name w:val="footnote reference"/>
    <w:basedOn w:val="DefaultParagraphFont"/>
    <w:rsid w:val="00F437F9"/>
    <w:rPr>
      <w:vertAlign w:val="superscript"/>
    </w:rPr>
  </w:style>
  <w:style w:type="character" w:customStyle="1" w:styleId="BodyText2Char">
    <w:name w:val="Body Text 2 Char"/>
    <w:basedOn w:val="DefaultParagraphFont"/>
    <w:link w:val="BodyText2"/>
    <w:rsid w:val="00143883"/>
    <w:rPr>
      <w:sz w:val="22"/>
    </w:rPr>
  </w:style>
  <w:style w:type="paragraph" w:styleId="NormalWeb">
    <w:name w:val="Normal (Web)"/>
    <w:basedOn w:val="Normal"/>
    <w:uiPriority w:val="99"/>
    <w:unhideWhenUsed/>
    <w:rsid w:val="00A776CF"/>
    <w:pPr>
      <w:spacing w:before="100" w:beforeAutospacing="1" w:after="100" w:afterAutospacing="1"/>
    </w:pPr>
    <w:rPr>
      <w:sz w:val="24"/>
      <w:szCs w:val="24"/>
    </w:rPr>
  </w:style>
  <w:style w:type="paragraph" w:styleId="BalloonText">
    <w:name w:val="Balloon Text"/>
    <w:basedOn w:val="Normal"/>
    <w:link w:val="BalloonTextChar"/>
    <w:rsid w:val="00975A5C"/>
    <w:rPr>
      <w:rFonts w:ascii="Tahoma" w:hAnsi="Tahoma" w:cs="Tahoma"/>
      <w:sz w:val="16"/>
      <w:szCs w:val="16"/>
    </w:rPr>
  </w:style>
  <w:style w:type="character" w:customStyle="1" w:styleId="BalloonTextChar">
    <w:name w:val="Balloon Text Char"/>
    <w:basedOn w:val="DefaultParagraphFont"/>
    <w:link w:val="BalloonText"/>
    <w:rsid w:val="00975A5C"/>
    <w:rPr>
      <w:rFonts w:ascii="Tahoma" w:hAnsi="Tahoma" w:cs="Tahoma"/>
      <w:sz w:val="16"/>
      <w:szCs w:val="16"/>
    </w:rPr>
  </w:style>
  <w:style w:type="character" w:customStyle="1" w:styleId="BodyTextChar">
    <w:name w:val="Body Text Char"/>
    <w:aliases w:val="SCA Body Text Char,SCA Body Text1 Char,SCA Body Text2 Char,SCA Body Text11 Char,BodyText-JEA Char,BT-JEA Char"/>
    <w:basedOn w:val="DefaultParagraphFont"/>
    <w:link w:val="BodyText"/>
    <w:locked/>
    <w:rsid w:val="00634981"/>
    <w:rPr>
      <w:sz w:val="24"/>
    </w:rPr>
  </w:style>
  <w:style w:type="character" w:customStyle="1" w:styleId="HeaderChar">
    <w:name w:val="Header Char"/>
    <w:basedOn w:val="DefaultParagraphFont"/>
    <w:link w:val="Header"/>
    <w:rsid w:val="00634981"/>
  </w:style>
  <w:style w:type="paragraph" w:styleId="ListParagraph">
    <w:name w:val="List Paragraph"/>
    <w:basedOn w:val="Normal"/>
    <w:uiPriority w:val="34"/>
    <w:qFormat/>
    <w:rsid w:val="00634981"/>
    <w:pPr>
      <w:spacing w:after="120"/>
      <w:ind w:left="720"/>
      <w:contextualSpacing/>
    </w:pPr>
    <w:rPr>
      <w:rFonts w:ascii="Calibri" w:eastAsia="Calibri" w:hAnsi="Calibri"/>
      <w:sz w:val="22"/>
      <w:szCs w:val="22"/>
    </w:rPr>
  </w:style>
  <w:style w:type="character" w:styleId="FollowedHyperlink">
    <w:name w:val="FollowedHyperlink"/>
    <w:basedOn w:val="DefaultParagraphFont"/>
    <w:rsid w:val="008D5402"/>
    <w:rPr>
      <w:color w:val="800080"/>
      <w:u w:val="single"/>
    </w:rPr>
  </w:style>
  <w:style w:type="paragraph" w:styleId="PlainText">
    <w:name w:val="Plain Text"/>
    <w:basedOn w:val="Normal"/>
    <w:link w:val="PlainTextChar"/>
    <w:uiPriority w:val="99"/>
    <w:unhideWhenUsed/>
    <w:rsid w:val="00C609F5"/>
    <w:rPr>
      <w:rFonts w:ascii="Consolas" w:eastAsia="Calibri" w:hAnsi="Consolas"/>
      <w:sz w:val="21"/>
      <w:szCs w:val="21"/>
    </w:rPr>
  </w:style>
  <w:style w:type="character" w:customStyle="1" w:styleId="PlainTextChar">
    <w:name w:val="Plain Text Char"/>
    <w:basedOn w:val="DefaultParagraphFont"/>
    <w:link w:val="PlainText"/>
    <w:uiPriority w:val="99"/>
    <w:rsid w:val="00C609F5"/>
    <w:rPr>
      <w:rFonts w:ascii="Consolas" w:eastAsia="Calibri" w:hAnsi="Consolas" w:cs="Times New Roman"/>
      <w:sz w:val="21"/>
      <w:szCs w:val="21"/>
    </w:rPr>
  </w:style>
  <w:style w:type="character" w:customStyle="1" w:styleId="subsectionheader1">
    <w:name w:val="subsection_header1"/>
    <w:basedOn w:val="DefaultParagraphFont"/>
    <w:rsid w:val="00981662"/>
    <w:rPr>
      <w:b/>
      <w:bCs/>
      <w:sz w:val="24"/>
      <w:szCs w:val="24"/>
      <w:u w:val="single"/>
    </w:rPr>
  </w:style>
  <w:style w:type="character" w:styleId="CommentReference">
    <w:name w:val="annotation reference"/>
    <w:basedOn w:val="DefaultParagraphFont"/>
    <w:rsid w:val="005F68A8"/>
    <w:rPr>
      <w:sz w:val="16"/>
      <w:szCs w:val="16"/>
    </w:rPr>
  </w:style>
  <w:style w:type="paragraph" w:styleId="CommentText">
    <w:name w:val="annotation text"/>
    <w:basedOn w:val="Normal"/>
    <w:link w:val="CommentTextChar"/>
    <w:rsid w:val="005F68A8"/>
  </w:style>
  <w:style w:type="character" w:customStyle="1" w:styleId="CommentTextChar">
    <w:name w:val="Comment Text Char"/>
    <w:basedOn w:val="DefaultParagraphFont"/>
    <w:link w:val="CommentText"/>
    <w:rsid w:val="005F68A8"/>
  </w:style>
  <w:style w:type="paragraph" w:styleId="CommentSubject">
    <w:name w:val="annotation subject"/>
    <w:basedOn w:val="CommentText"/>
    <w:next w:val="CommentText"/>
    <w:link w:val="CommentSubjectChar"/>
    <w:rsid w:val="005F68A8"/>
    <w:rPr>
      <w:b/>
      <w:bCs/>
    </w:rPr>
  </w:style>
  <w:style w:type="character" w:customStyle="1" w:styleId="CommentSubjectChar">
    <w:name w:val="Comment Subject Char"/>
    <w:basedOn w:val="CommentTextChar"/>
    <w:link w:val="CommentSubject"/>
    <w:rsid w:val="005F68A8"/>
    <w:rPr>
      <w:b/>
      <w:bCs/>
    </w:rPr>
  </w:style>
</w:styles>
</file>

<file path=word/webSettings.xml><?xml version="1.0" encoding="utf-8"?>
<w:webSettings xmlns:r="http://schemas.openxmlformats.org/officeDocument/2006/relationships" xmlns:w="http://schemas.openxmlformats.org/wordprocessingml/2006/main">
  <w:divs>
    <w:div w:id="107938868">
      <w:bodyDiv w:val="1"/>
      <w:marLeft w:val="0"/>
      <w:marRight w:val="0"/>
      <w:marTop w:val="0"/>
      <w:marBottom w:val="0"/>
      <w:divBdr>
        <w:top w:val="none" w:sz="0" w:space="0" w:color="auto"/>
        <w:left w:val="none" w:sz="0" w:space="0" w:color="auto"/>
        <w:bottom w:val="none" w:sz="0" w:space="0" w:color="auto"/>
        <w:right w:val="none" w:sz="0" w:space="0" w:color="auto"/>
      </w:divBdr>
    </w:div>
    <w:div w:id="1121070579">
      <w:bodyDiv w:val="1"/>
      <w:marLeft w:val="0"/>
      <w:marRight w:val="0"/>
      <w:marTop w:val="0"/>
      <w:marBottom w:val="0"/>
      <w:divBdr>
        <w:top w:val="none" w:sz="0" w:space="0" w:color="auto"/>
        <w:left w:val="none" w:sz="0" w:space="0" w:color="auto"/>
        <w:bottom w:val="none" w:sz="0" w:space="0" w:color="auto"/>
        <w:right w:val="none" w:sz="0" w:space="0" w:color="auto"/>
      </w:divBdr>
    </w:div>
    <w:div w:id="1530143738">
      <w:bodyDiv w:val="1"/>
      <w:marLeft w:val="0"/>
      <w:marRight w:val="0"/>
      <w:marTop w:val="0"/>
      <w:marBottom w:val="0"/>
      <w:divBdr>
        <w:top w:val="none" w:sz="0" w:space="0" w:color="auto"/>
        <w:left w:val="none" w:sz="0" w:space="0" w:color="auto"/>
        <w:bottom w:val="none" w:sz="0" w:space="0" w:color="auto"/>
        <w:right w:val="none" w:sz="0" w:space="0" w:color="auto"/>
      </w:divBdr>
    </w:div>
    <w:div w:id="1560627777">
      <w:bodyDiv w:val="1"/>
      <w:marLeft w:val="0"/>
      <w:marRight w:val="0"/>
      <w:marTop w:val="0"/>
      <w:marBottom w:val="0"/>
      <w:divBdr>
        <w:top w:val="none" w:sz="0" w:space="0" w:color="auto"/>
        <w:left w:val="none" w:sz="0" w:space="0" w:color="auto"/>
        <w:bottom w:val="none" w:sz="0" w:space="0" w:color="auto"/>
        <w:right w:val="none" w:sz="0" w:space="0" w:color="auto"/>
      </w:divBdr>
    </w:div>
    <w:div w:id="1619340033">
      <w:bodyDiv w:val="1"/>
      <w:marLeft w:val="0"/>
      <w:marRight w:val="0"/>
      <w:marTop w:val="0"/>
      <w:marBottom w:val="0"/>
      <w:divBdr>
        <w:top w:val="none" w:sz="0" w:space="0" w:color="auto"/>
        <w:left w:val="none" w:sz="0" w:space="0" w:color="auto"/>
        <w:bottom w:val="none" w:sz="0" w:space="0" w:color="auto"/>
        <w:right w:val="none" w:sz="0" w:space="0" w:color="auto"/>
      </w:divBdr>
    </w:div>
    <w:div w:id="1628510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673A79-4381-443F-BB69-954B355B6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2774</TotalTime>
  <Pages>7</Pages>
  <Words>2615</Words>
  <Characters>15021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Technical Evaluation &amp; Preliminary Determination</vt:lpstr>
    </vt:vector>
  </TitlesOfParts>
  <Manager>Trina Vielhauer</Manager>
  <Company>FDEP/DARM/BAR</Company>
  <LinksUpToDate>false</LinksUpToDate>
  <CharactersWithSpaces>17601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 &amp; Preliminary Determination</dc:title>
  <dc:subject>Draft Permit</dc:subject>
  <dc:creator>Jeff Koerner</dc:creator>
  <cp:keywords/>
  <dc:description/>
  <cp:lastModifiedBy>Holtom_J</cp:lastModifiedBy>
  <cp:revision>9</cp:revision>
  <cp:lastPrinted>2011-07-07T18:41:00Z</cp:lastPrinted>
  <dcterms:created xsi:type="dcterms:W3CDTF">2012-04-20T19:48:00Z</dcterms:created>
  <dcterms:modified xsi:type="dcterms:W3CDTF">2012-05-02T18:45:00Z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-773436873</vt:i4>
  </property>
  <property fmtid="{D5CDD505-2E9C-101B-9397-08002B2CF9AE}" pid="3" name="_NewReviewCycle">
    <vt:lpwstr/>
  </property>
  <property fmtid="{D5CDD505-2E9C-101B-9397-08002B2CF9AE}" pid="4" name="_EmailSubject">
    <vt:lpwstr>0570039-057-AC - DraftTEPD JH edits and questions 4-20-12.doc</vt:lpwstr>
  </property>
  <property fmtid="{D5CDD505-2E9C-101B-9397-08002B2CF9AE}" pid="5" name="_AuthorEmail">
    <vt:lpwstr>Jonathan.Holtom@dep.state.fl.us</vt:lpwstr>
  </property>
  <property fmtid="{D5CDD505-2E9C-101B-9397-08002B2CF9AE}" pid="6" name="_AuthorEmailDisplayName">
    <vt:lpwstr>Holtom, Jonathan</vt:lpwstr>
  </property>
  <property fmtid="{D5CDD505-2E9C-101B-9397-08002B2CF9AE}" pid="7" name="_ReviewingToolsShownOnce">
    <vt:lpwstr/>
  </property>
</Properties>
</file>